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587AB273" w:rsidR="00842220" w:rsidRPr="00A83958" w:rsidRDefault="009A00F7" w:rsidP="005570E3">
      <w:pPr>
        <w:pStyle w:val="Header"/>
        <w:widowControl w:val="0"/>
        <w:ind w:right="-58"/>
        <w:jc w:val="left"/>
        <w:rPr>
          <w:rFonts w:ascii="Arial" w:hAnsi="Arial" w:cs="Arial"/>
          <w:b/>
          <w:bCs/>
          <w:sz w:val="28"/>
          <w:lang w:eastAsia="zh-CN"/>
        </w:rPr>
      </w:pPr>
      <w:bookmarkStart w:id="0" w:name="_GoBack"/>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F1548">
        <w:rPr>
          <w:rFonts w:ascii="Arial" w:hAnsi="Arial" w:cs="Arial"/>
          <w:b/>
          <w:bCs/>
          <w:sz w:val="28"/>
          <w:lang w:eastAsia="zh-CN"/>
        </w:rPr>
        <w:t>4</w:t>
      </w:r>
      <w:r w:rsidR="00176C9A">
        <w:rPr>
          <w:rFonts w:ascii="Arial" w:hAnsi="Arial" w:cs="Arial"/>
          <w:b/>
          <w:bCs/>
          <w:sz w:val="28"/>
          <w:lang w:eastAsia="zh-CN"/>
        </w:rPr>
        <w:t>bis_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C314CD">
        <w:rPr>
          <w:rFonts w:ascii="Arial" w:hAnsi="Arial" w:cs="Arial"/>
          <w:b/>
          <w:bCs/>
          <w:sz w:val="28"/>
          <w:lang w:eastAsia="zh-CN"/>
        </w:rPr>
        <w:t>03321</w:t>
      </w:r>
    </w:p>
    <w:p w14:paraId="4B25669D" w14:textId="29540F4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176C9A">
        <w:rPr>
          <w:rFonts w:ascii="Arial" w:hAnsi="Arial" w:cs="Arial"/>
          <w:b/>
          <w:bCs/>
          <w:sz w:val="28"/>
          <w:lang w:eastAsia="zh-CN"/>
        </w:rPr>
        <w:t>12</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 20</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April</w:t>
      </w:r>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AEF9908"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E933CB">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ED7115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933CB">
        <w:rPr>
          <w:b/>
          <w:kern w:val="2"/>
          <w:sz w:val="24"/>
          <w:lang w:eastAsia="zh-CN"/>
        </w:rPr>
        <w:t>HARQ issues</w:t>
      </w:r>
      <w:r w:rsidR="00760196">
        <w:rPr>
          <w:b/>
          <w:kern w:val="2"/>
          <w:sz w:val="24"/>
          <w:lang w:eastAsia="zh-CN"/>
        </w:rPr>
        <w:t xml:space="preserve"> for </w:t>
      </w:r>
      <w:r w:rsidR="00176C9A">
        <w:rPr>
          <w:b/>
          <w:kern w:val="2"/>
          <w:sz w:val="24"/>
          <w:lang w:eastAsia="zh-CN"/>
        </w:rPr>
        <w:t>IoT-</w:t>
      </w:r>
      <w:r w:rsidR="00760196">
        <w:rPr>
          <w:b/>
          <w:kern w:val="2"/>
          <w:sz w:val="24"/>
          <w:lang w:eastAsia="zh-CN"/>
        </w:rPr>
        <w:t xml:space="preserve">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1" w:name="_Ref54129494"/>
      <w:r w:rsidRPr="00C43D48">
        <w:rPr>
          <w:sz w:val="24"/>
          <w:lang w:eastAsia="zh-CN"/>
        </w:rPr>
        <w:t>Introduction</w:t>
      </w:r>
      <w:bookmarkEnd w:id="1"/>
    </w:p>
    <w:p w14:paraId="1442B6BB" w14:textId="7561CDEE" w:rsidR="009A17A9" w:rsidRDefault="00BD1716" w:rsidP="00D176D9">
      <w:pPr>
        <w:rPr>
          <w:lang w:eastAsia="zh-CN"/>
        </w:rPr>
      </w:pPr>
      <w:r>
        <w:rPr>
          <w:lang w:eastAsia="zh-CN"/>
        </w:rPr>
        <w:t>The following agreements were made at RAN1#104e:</w:t>
      </w:r>
    </w:p>
    <w:p w14:paraId="4426120E" w14:textId="77777777" w:rsidR="00264C79" w:rsidRDefault="00264C79" w:rsidP="00D176D9">
      <w:pPr>
        <w:rPr>
          <w:lang w:eastAsia="zh-CN"/>
        </w:rPr>
      </w:pPr>
    </w:p>
    <w:p w14:paraId="0578C569" w14:textId="77777777" w:rsidR="00BD1716" w:rsidRDefault="00BD1716" w:rsidP="00BD1716">
      <w:pPr>
        <w:rPr>
          <w:lang w:eastAsia="x-none"/>
        </w:rPr>
      </w:pPr>
      <w:r w:rsidRPr="006B56E1">
        <w:rPr>
          <w:highlight w:val="green"/>
          <w:lang w:eastAsia="x-none"/>
        </w:rPr>
        <w:t>Agreement:</w:t>
      </w:r>
    </w:p>
    <w:p w14:paraId="053A0366" w14:textId="77777777" w:rsidR="00BD1716" w:rsidRDefault="00BD1716" w:rsidP="00BD1716">
      <w:pPr>
        <w:rPr>
          <w:lang w:eastAsia="x-none"/>
        </w:rPr>
      </w:pPr>
      <w:r>
        <w:rPr>
          <w:lang w:eastAsia="x-none"/>
        </w:rPr>
        <w:t>Study further the potential benefits and/or drawbacks of increasing the number of HARQ processes on throughput, latency, power consumption and complexity</w:t>
      </w:r>
    </w:p>
    <w:p w14:paraId="1DA100A7" w14:textId="77777777" w:rsidR="00BD1716" w:rsidRDefault="00BD1716" w:rsidP="00BD1716">
      <w:pPr>
        <w:rPr>
          <w:lang w:eastAsia="x-none"/>
        </w:rPr>
      </w:pPr>
    </w:p>
    <w:p w14:paraId="44A2BAAB" w14:textId="77777777" w:rsidR="00BD1716" w:rsidRDefault="00BD1716" w:rsidP="00BD1716">
      <w:pPr>
        <w:rPr>
          <w:lang w:eastAsia="x-none"/>
        </w:rPr>
      </w:pPr>
      <w:r w:rsidRPr="000D354A">
        <w:rPr>
          <w:highlight w:val="green"/>
          <w:lang w:eastAsia="x-none"/>
        </w:rPr>
        <w:t>Agreement:</w:t>
      </w:r>
    </w:p>
    <w:p w14:paraId="31E00E36" w14:textId="77777777" w:rsidR="00BD1716" w:rsidRDefault="00BD1716" w:rsidP="00BD1716">
      <w:pPr>
        <w:numPr>
          <w:ilvl w:val="0"/>
          <w:numId w:val="22"/>
        </w:numPr>
        <w:autoSpaceDE/>
        <w:autoSpaceDN/>
        <w:adjustRightInd/>
        <w:snapToGrid/>
        <w:spacing w:after="0"/>
        <w:jc w:val="left"/>
        <w:rPr>
          <w:lang w:eastAsia="x-none"/>
        </w:rPr>
      </w:pPr>
      <w:r>
        <w:rPr>
          <w:lang w:eastAsia="x-none"/>
        </w:rPr>
        <w:t>For NTN, further study potential benefits and/or drawbacks of disabling HARQ feedback for NB-IoT.</w:t>
      </w:r>
    </w:p>
    <w:p w14:paraId="7B8DEA28" w14:textId="77777777" w:rsidR="00BD1716" w:rsidRDefault="00BD1716" w:rsidP="00BD1716">
      <w:pPr>
        <w:numPr>
          <w:ilvl w:val="0"/>
          <w:numId w:val="22"/>
        </w:numPr>
        <w:autoSpaceDE/>
        <w:autoSpaceDN/>
        <w:adjustRightInd/>
        <w:snapToGrid/>
        <w:spacing w:after="0"/>
        <w:jc w:val="left"/>
        <w:rPr>
          <w:lang w:eastAsia="x-none"/>
        </w:rPr>
      </w:pPr>
      <w:r>
        <w:rPr>
          <w:lang w:eastAsia="x-none"/>
        </w:rPr>
        <w:t xml:space="preserve">For NTN, further study potential benefits and/or drawbacks of disabling HARQ feedback for </w:t>
      </w:r>
      <w:proofErr w:type="spellStart"/>
      <w:r>
        <w:rPr>
          <w:lang w:eastAsia="x-none"/>
        </w:rPr>
        <w:t>eMTC</w:t>
      </w:r>
      <w:proofErr w:type="spellEnd"/>
      <w:r>
        <w:rPr>
          <w:lang w:eastAsia="x-none"/>
        </w:rPr>
        <w:t>.</w:t>
      </w:r>
    </w:p>
    <w:p w14:paraId="0E5CF7BF" w14:textId="77777777" w:rsidR="00BD1716" w:rsidRDefault="00BD1716" w:rsidP="00BD1716">
      <w:pPr>
        <w:rPr>
          <w:lang w:eastAsia="x-none"/>
        </w:rPr>
      </w:pPr>
    </w:p>
    <w:p w14:paraId="1F990D91" w14:textId="77777777" w:rsidR="00BD1716" w:rsidRDefault="00BD1716" w:rsidP="00BD1716">
      <w:pPr>
        <w:rPr>
          <w:lang w:eastAsia="x-none"/>
        </w:rPr>
      </w:pPr>
      <w:r w:rsidRPr="000D354A">
        <w:rPr>
          <w:highlight w:val="green"/>
          <w:lang w:eastAsia="x-none"/>
        </w:rPr>
        <w:t>Agreement:</w:t>
      </w:r>
    </w:p>
    <w:p w14:paraId="4DAA2979" w14:textId="77777777" w:rsidR="00BD1716" w:rsidRDefault="00BD1716" w:rsidP="00BD1716">
      <w:pPr>
        <w:rPr>
          <w:lang w:eastAsia="x-none"/>
        </w:rPr>
      </w:pPr>
      <w:r>
        <w:rPr>
          <w:lang w:eastAsia="x-none"/>
        </w:rPr>
        <w:t xml:space="preserve">In relation to HARQ operation in NTN IoT, further study at least </w:t>
      </w:r>
    </w:p>
    <w:p w14:paraId="1405F0D5" w14:textId="77777777" w:rsidR="00BD1716" w:rsidRDefault="00BD1716" w:rsidP="00BD1716">
      <w:pPr>
        <w:numPr>
          <w:ilvl w:val="0"/>
          <w:numId w:val="23"/>
        </w:numPr>
        <w:autoSpaceDE/>
        <w:autoSpaceDN/>
        <w:adjustRightInd/>
        <w:snapToGrid/>
        <w:spacing w:after="0"/>
        <w:jc w:val="left"/>
        <w:rPr>
          <w:lang w:eastAsia="x-none"/>
        </w:rPr>
      </w:pPr>
      <w:r>
        <w:rPr>
          <w:lang w:eastAsia="x-none"/>
        </w:rPr>
        <w:t>The necessity, potential benefits and drawbacks of any other potential HARQ feedback mechanisms</w:t>
      </w:r>
    </w:p>
    <w:p w14:paraId="42F4E81B" w14:textId="77777777" w:rsidR="00BD1716" w:rsidRDefault="00BD1716" w:rsidP="00BD1716">
      <w:pPr>
        <w:numPr>
          <w:ilvl w:val="0"/>
          <w:numId w:val="23"/>
        </w:numPr>
        <w:autoSpaceDE/>
        <w:autoSpaceDN/>
        <w:adjustRightInd/>
        <w:snapToGrid/>
        <w:spacing w:after="0"/>
        <w:jc w:val="left"/>
        <w:rPr>
          <w:lang w:eastAsia="x-none"/>
        </w:rPr>
      </w:pPr>
      <w:r>
        <w:rPr>
          <w:lang w:eastAsia="x-none"/>
        </w:rPr>
        <w:t>The necessity, potential benefits and drawbacks of reduced PDCCH monitoring</w:t>
      </w:r>
    </w:p>
    <w:p w14:paraId="48792DA6" w14:textId="77777777" w:rsidR="00BD1716" w:rsidRDefault="00BD1716" w:rsidP="00BD1716">
      <w:pPr>
        <w:numPr>
          <w:ilvl w:val="0"/>
          <w:numId w:val="23"/>
        </w:numPr>
        <w:autoSpaceDE/>
        <w:autoSpaceDN/>
        <w:adjustRightInd/>
        <w:snapToGrid/>
        <w:spacing w:after="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6BD90AF9" w14:textId="77777777" w:rsidR="00BD1716" w:rsidRDefault="00BD1716" w:rsidP="00BD1716">
      <w:pPr>
        <w:numPr>
          <w:ilvl w:val="0"/>
          <w:numId w:val="23"/>
        </w:numPr>
        <w:autoSpaceDE/>
        <w:autoSpaceDN/>
        <w:adjustRightInd/>
        <w:snapToGrid/>
        <w:spacing w:after="0"/>
        <w:jc w:val="left"/>
        <w:rPr>
          <w:lang w:eastAsia="x-none"/>
        </w:rPr>
      </w:pPr>
      <w:r>
        <w:rPr>
          <w:lang w:eastAsia="x-none"/>
        </w:rPr>
        <w:t>The necessity, potential benefits and drawbacks of uplink transmission gaps with multiple HARQ processes</w:t>
      </w:r>
    </w:p>
    <w:p w14:paraId="0086F237" w14:textId="77777777" w:rsidR="00BD1716" w:rsidRDefault="00BD1716" w:rsidP="00BD1716">
      <w:pPr>
        <w:numPr>
          <w:ilvl w:val="0"/>
          <w:numId w:val="23"/>
        </w:numPr>
        <w:autoSpaceDE/>
        <w:autoSpaceDN/>
        <w:adjustRightInd/>
        <w:snapToGrid/>
        <w:spacing w:after="0"/>
        <w:jc w:val="left"/>
        <w:rPr>
          <w:lang w:eastAsia="x-none"/>
        </w:rPr>
      </w:pPr>
      <w:r>
        <w:rPr>
          <w:lang w:eastAsia="x-none"/>
        </w:rPr>
        <w:t xml:space="preserve">The necessity, potential benefits and drawbacks of maintaining HARQ process continuity in serving cell change </w:t>
      </w:r>
    </w:p>
    <w:p w14:paraId="5406CFEB" w14:textId="77777777" w:rsidR="00BD1716" w:rsidRDefault="00BD1716" w:rsidP="00BD1716">
      <w:pPr>
        <w:numPr>
          <w:ilvl w:val="0"/>
          <w:numId w:val="23"/>
        </w:numPr>
        <w:autoSpaceDE/>
        <w:autoSpaceDN/>
        <w:adjustRightInd/>
        <w:snapToGrid/>
        <w:spacing w:after="0"/>
        <w:jc w:val="left"/>
        <w:rPr>
          <w:lang w:eastAsia="x-none"/>
        </w:rPr>
      </w:pPr>
      <w:r>
        <w:rPr>
          <w:lang w:eastAsia="x-none"/>
        </w:rPr>
        <w:t>The necessity, potential benefits and drawbacks of multiple Transport Blocks scheduling</w:t>
      </w:r>
    </w:p>
    <w:p w14:paraId="24633D18" w14:textId="77777777" w:rsidR="00BD1716" w:rsidRDefault="00BD1716" w:rsidP="00BD1716">
      <w:pPr>
        <w:numPr>
          <w:ilvl w:val="0"/>
          <w:numId w:val="23"/>
        </w:numPr>
        <w:autoSpaceDE/>
        <w:autoSpaceDN/>
        <w:adjustRightInd/>
        <w:snapToGrid/>
        <w:spacing w:after="0"/>
        <w:jc w:val="left"/>
        <w:rPr>
          <w:lang w:eastAsia="x-none"/>
        </w:rPr>
      </w:pPr>
      <w:r>
        <w:rPr>
          <w:lang w:eastAsia="x-none"/>
        </w:rPr>
        <w:t>The necessity, potential benefits and drawbacks of throughput enhancements</w:t>
      </w:r>
    </w:p>
    <w:p w14:paraId="0E2B950B" w14:textId="77777777" w:rsidR="00BD1716" w:rsidRDefault="00BD1716" w:rsidP="00BD1716">
      <w:pPr>
        <w:numPr>
          <w:ilvl w:val="1"/>
          <w:numId w:val="23"/>
        </w:numPr>
        <w:autoSpaceDE/>
        <w:autoSpaceDN/>
        <w:adjustRightInd/>
        <w:snapToGrid/>
        <w:spacing w:after="0"/>
        <w:jc w:val="left"/>
        <w:rPr>
          <w:lang w:eastAsia="x-none"/>
        </w:rPr>
      </w:pPr>
      <w:r>
        <w:rPr>
          <w:lang w:eastAsia="x-none"/>
        </w:rPr>
        <w:t>FFS: Whether target throughput in NTN will be the same as target throughput in terrestrial networks</w:t>
      </w:r>
    </w:p>
    <w:p w14:paraId="390179E0" w14:textId="77777777" w:rsidR="00BD1716" w:rsidRDefault="00BD1716" w:rsidP="00BD1716">
      <w:pPr>
        <w:rPr>
          <w:lang w:eastAsia="x-none"/>
        </w:rPr>
      </w:pPr>
    </w:p>
    <w:p w14:paraId="08AD46AB" w14:textId="77777777" w:rsidR="00BD1716" w:rsidRDefault="00BD1716" w:rsidP="00BD1716">
      <w:pPr>
        <w:rPr>
          <w:lang w:eastAsia="x-none"/>
        </w:rPr>
      </w:pPr>
    </w:p>
    <w:p w14:paraId="7A7CBBC0" w14:textId="77777777" w:rsidR="00BD1716" w:rsidRDefault="00BD1716" w:rsidP="00BD1716">
      <w:pPr>
        <w:rPr>
          <w:lang w:eastAsia="x-none"/>
        </w:rPr>
      </w:pPr>
      <w:r w:rsidRPr="00E83C44">
        <w:rPr>
          <w:highlight w:val="green"/>
          <w:lang w:eastAsia="x-none"/>
        </w:rPr>
        <w:t>Agreement:</w:t>
      </w:r>
    </w:p>
    <w:p w14:paraId="1E3BA658" w14:textId="77777777" w:rsidR="00BD1716" w:rsidRDefault="00BD1716" w:rsidP="00BD1716">
      <w:pPr>
        <w:rPr>
          <w:lang w:eastAsia="x-none"/>
        </w:rPr>
      </w:pPr>
      <w:r>
        <w:rPr>
          <w:lang w:eastAsia="zh-CN"/>
        </w:rPr>
        <w:t>The motivation for introducing HARQ enhancements in NR NTN needs further consideration for HARQ enhancements in NTN IoT. Capture the following in the TR:</w:t>
      </w:r>
    </w:p>
    <w:p w14:paraId="71693F87" w14:textId="77777777" w:rsidR="00BD1716" w:rsidRPr="00C457C1" w:rsidRDefault="00BD1716" w:rsidP="00BD1716">
      <w:pPr>
        <w:numPr>
          <w:ilvl w:val="0"/>
          <w:numId w:val="24"/>
        </w:numPr>
        <w:autoSpaceDE/>
        <w:autoSpaceDN/>
        <w:adjustRightInd/>
        <w:snapToGrid/>
        <w:spacing w:after="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4B14CFA" w14:textId="1C841714" w:rsidR="00BD1716" w:rsidRDefault="00BD1716" w:rsidP="00BD1716">
      <w:pPr>
        <w:numPr>
          <w:ilvl w:val="0"/>
          <w:numId w:val="24"/>
        </w:numPr>
        <w:autoSpaceDE/>
        <w:autoSpaceDN/>
        <w:adjustRightInd/>
        <w:snapToGrid/>
        <w:spacing w:after="0"/>
        <w:jc w:val="left"/>
        <w:rPr>
          <w:lang w:eastAsia="zh-CN"/>
        </w:rPr>
      </w:pPr>
      <w:r>
        <w:rPr>
          <w:lang w:eastAsia="zh-CN"/>
        </w:rPr>
        <w:lastRenderedPageBreak/>
        <w:t xml:space="preserve">The peak throughput of IoT UEs operating over NTN is not expected to be higher than the peak throughput of IoT UEs operating over TN.   </w:t>
      </w:r>
    </w:p>
    <w:p w14:paraId="40E2E8C3" w14:textId="77777777" w:rsidR="00BD1716" w:rsidRDefault="00BD1716" w:rsidP="00BD1716">
      <w:pPr>
        <w:rPr>
          <w:szCs w:val="20"/>
          <w:highlight w:val="magenta"/>
          <w:lang w:eastAsia="zh-CN"/>
        </w:rPr>
      </w:pPr>
    </w:p>
    <w:p w14:paraId="5C0867CA" w14:textId="77777777" w:rsidR="00BD1716" w:rsidRPr="00352FBC" w:rsidRDefault="00BD1716" w:rsidP="00BD1716">
      <w:pPr>
        <w:rPr>
          <w:lang w:eastAsia="zh-CN"/>
        </w:rPr>
      </w:pPr>
      <w:r w:rsidRPr="00390086">
        <w:rPr>
          <w:szCs w:val="20"/>
          <w:highlight w:val="green"/>
          <w:lang w:eastAsia="zh-CN"/>
        </w:rPr>
        <w:t>Agreement:</w:t>
      </w:r>
    </w:p>
    <w:p w14:paraId="4982A040" w14:textId="77777777" w:rsidR="00BD1716" w:rsidRPr="00352FBC" w:rsidRDefault="00BD1716" w:rsidP="00BD1716">
      <w:pPr>
        <w:rPr>
          <w:lang w:eastAsia="zh-CN"/>
        </w:rPr>
      </w:pPr>
      <w:r w:rsidRPr="00352FBC">
        <w:rPr>
          <w:lang w:eastAsia="zh-CN"/>
        </w:rPr>
        <w:t>Further study to identify whether HARQ stalling happens at least in the GEO satellite scenario.</w:t>
      </w:r>
    </w:p>
    <w:p w14:paraId="334A985C" w14:textId="77777777" w:rsidR="00BD1716" w:rsidRDefault="00BD1716" w:rsidP="00BD1716">
      <w:pPr>
        <w:spacing w:before="120"/>
        <w:rPr>
          <w:b/>
          <w:bCs/>
          <w:szCs w:val="20"/>
          <w:highlight w:val="yellow"/>
          <w:lang w:eastAsia="zh-CN"/>
        </w:rPr>
      </w:pPr>
    </w:p>
    <w:p w14:paraId="4FC3C47B" w14:textId="77777777" w:rsidR="00BD1716" w:rsidRPr="00352FBC" w:rsidRDefault="00BD1716" w:rsidP="00BD1716">
      <w:pPr>
        <w:rPr>
          <w:szCs w:val="20"/>
          <w:lang w:eastAsia="zh-CN"/>
        </w:rPr>
      </w:pPr>
      <w:r w:rsidRPr="00390086">
        <w:rPr>
          <w:szCs w:val="20"/>
          <w:highlight w:val="green"/>
          <w:lang w:eastAsia="zh-CN"/>
        </w:rPr>
        <w:t>Agreement:</w:t>
      </w:r>
    </w:p>
    <w:p w14:paraId="24559254" w14:textId="77777777" w:rsidR="00BD1716" w:rsidRPr="00CC7A2A" w:rsidRDefault="00BD1716" w:rsidP="00BD1716">
      <w:pPr>
        <w:numPr>
          <w:ilvl w:val="0"/>
          <w:numId w:val="25"/>
        </w:numPr>
        <w:autoSpaceDE/>
        <w:autoSpaceDN/>
        <w:adjustRightInd/>
        <w:snapToGrid/>
        <w:spacing w:after="0"/>
        <w:jc w:val="left"/>
        <w:rPr>
          <w:lang w:eastAsia="zh-CN"/>
        </w:rPr>
      </w:pPr>
      <w:r>
        <w:rPr>
          <w:szCs w:val="20"/>
          <w:lang w:eastAsia="zh-CN"/>
        </w:rPr>
        <w:t xml:space="preserve">Further discuss </w:t>
      </w:r>
      <w:r w:rsidRPr="00CC7A2A">
        <w:rPr>
          <w:szCs w:val="20"/>
          <w:lang w:eastAsia="x-none"/>
        </w:rPr>
        <w:t xml:space="preserve">the potential benefits and/or drawbacks of </w:t>
      </w:r>
      <w:r w:rsidRPr="00CC7A2A">
        <w:rPr>
          <w:szCs w:val="20"/>
          <w:lang w:eastAsia="zh-CN"/>
        </w:rPr>
        <w:t xml:space="preserve">increasing the number of HARQ processes in </w:t>
      </w:r>
      <w:r w:rsidRPr="00CC7A2A">
        <w:rPr>
          <w:lang w:eastAsia="zh-CN"/>
        </w:rPr>
        <w:t xml:space="preserve">the UL for NB-IoT and </w:t>
      </w:r>
      <w:proofErr w:type="spellStart"/>
      <w:r w:rsidRPr="00CC7A2A">
        <w:rPr>
          <w:lang w:eastAsia="zh-CN"/>
        </w:rPr>
        <w:t>eMTC</w:t>
      </w:r>
      <w:proofErr w:type="spellEnd"/>
      <w:r w:rsidRPr="00CC7A2A">
        <w:rPr>
          <w:lang w:eastAsia="zh-CN"/>
        </w:rPr>
        <w:t>, and for the analysis consider at least the following for the number of HARQ processes</w:t>
      </w:r>
    </w:p>
    <w:p w14:paraId="01DB6CB9" w14:textId="77777777" w:rsidR="00BD1716" w:rsidRPr="00CC7A2A" w:rsidRDefault="00BD1716" w:rsidP="00BD1716">
      <w:pPr>
        <w:numPr>
          <w:ilvl w:val="1"/>
          <w:numId w:val="25"/>
        </w:numPr>
        <w:autoSpaceDE/>
        <w:autoSpaceDN/>
        <w:adjustRightInd/>
        <w:snapToGrid/>
        <w:spacing w:after="0"/>
        <w:jc w:val="left"/>
        <w:rPr>
          <w:lang w:eastAsia="zh-CN"/>
        </w:rPr>
      </w:pPr>
      <w:r w:rsidRPr="00CC7A2A">
        <w:rPr>
          <w:lang w:eastAsia="zh-CN"/>
        </w:rPr>
        <w:t>NB-IoT: 1,2,4</w:t>
      </w:r>
    </w:p>
    <w:p w14:paraId="59E69E44" w14:textId="77777777" w:rsidR="00BD1716" w:rsidRPr="00CC7A2A" w:rsidRDefault="00BD1716" w:rsidP="00BD1716">
      <w:pPr>
        <w:numPr>
          <w:ilvl w:val="1"/>
          <w:numId w:val="25"/>
        </w:numPr>
        <w:autoSpaceDE/>
        <w:autoSpaceDN/>
        <w:adjustRightInd/>
        <w:snapToGrid/>
        <w:spacing w:after="0"/>
        <w:jc w:val="left"/>
        <w:rPr>
          <w:lang w:eastAsia="zh-CN"/>
        </w:rPr>
      </w:pPr>
      <w:proofErr w:type="spellStart"/>
      <w:r w:rsidRPr="00CC7A2A">
        <w:t>eMTC</w:t>
      </w:r>
      <w:proofErr w:type="spellEnd"/>
      <w:r w:rsidRPr="00CC7A2A">
        <w:t>: 2,4,8,14</w:t>
      </w:r>
    </w:p>
    <w:p w14:paraId="7F528539" w14:textId="77777777" w:rsidR="00BD1716" w:rsidRPr="00CC7A2A" w:rsidRDefault="00BD1716" w:rsidP="00BD1716">
      <w:pPr>
        <w:numPr>
          <w:ilvl w:val="0"/>
          <w:numId w:val="25"/>
        </w:numPr>
        <w:autoSpaceDE/>
        <w:autoSpaceDN/>
        <w:adjustRightInd/>
        <w:snapToGrid/>
        <w:spacing w:after="0"/>
        <w:jc w:val="left"/>
        <w:rPr>
          <w:lang w:eastAsia="zh-CN"/>
        </w:rPr>
      </w:pPr>
      <w:r w:rsidRPr="00CC7A2A">
        <w:t>And discuss at least power consumption and peak data rate as performance metrics</w:t>
      </w:r>
    </w:p>
    <w:p w14:paraId="1BCDC97B" w14:textId="77777777" w:rsidR="00BD1716" w:rsidRPr="00CC7A2A" w:rsidRDefault="00BD1716" w:rsidP="00BD1716">
      <w:pPr>
        <w:numPr>
          <w:ilvl w:val="0"/>
          <w:numId w:val="25"/>
        </w:numPr>
        <w:autoSpaceDE/>
        <w:autoSpaceDN/>
        <w:adjustRightInd/>
        <w:snapToGrid/>
        <w:spacing w:after="0"/>
        <w:jc w:val="left"/>
        <w:rPr>
          <w:lang w:eastAsia="zh-CN"/>
        </w:rPr>
      </w:pPr>
      <w:r w:rsidRPr="00CC7A2A">
        <w:t>FFS: Whether to consider DL</w:t>
      </w:r>
    </w:p>
    <w:p w14:paraId="40B72B35" w14:textId="77777777" w:rsidR="00BD1716" w:rsidRPr="00CC7A2A" w:rsidRDefault="00BD1716" w:rsidP="00BD1716">
      <w:pPr>
        <w:numPr>
          <w:ilvl w:val="0"/>
          <w:numId w:val="25"/>
        </w:numPr>
        <w:autoSpaceDE/>
        <w:autoSpaceDN/>
        <w:adjustRightInd/>
        <w:snapToGrid/>
        <w:spacing w:after="0"/>
        <w:jc w:val="left"/>
        <w:rPr>
          <w:lang w:eastAsia="zh-CN"/>
        </w:rPr>
      </w:pPr>
      <w:r w:rsidRPr="00CC7A2A">
        <w:t>Other values for number of HARQ processes below the maximum value can be discussed</w:t>
      </w:r>
    </w:p>
    <w:p w14:paraId="4E015A95" w14:textId="77777777" w:rsidR="00BD1716" w:rsidRDefault="00BD1716" w:rsidP="00BD1716">
      <w:pPr>
        <w:rPr>
          <w:szCs w:val="20"/>
        </w:rPr>
      </w:pPr>
    </w:p>
    <w:p w14:paraId="24FCE72A" w14:textId="77777777" w:rsidR="00BD1716" w:rsidRDefault="00BD1716" w:rsidP="00BD1716">
      <w:pPr>
        <w:rPr>
          <w:szCs w:val="20"/>
        </w:rPr>
      </w:pPr>
    </w:p>
    <w:p w14:paraId="153CF25A" w14:textId="77777777" w:rsidR="00BD1716" w:rsidRPr="00352FBC" w:rsidRDefault="00BD1716" w:rsidP="00BD1716">
      <w:pPr>
        <w:rPr>
          <w:lang w:eastAsia="zh-CN"/>
        </w:rPr>
      </w:pPr>
      <w:r w:rsidRPr="00390086">
        <w:rPr>
          <w:highlight w:val="green"/>
          <w:lang w:eastAsia="zh-CN"/>
        </w:rPr>
        <w:t>Agreement:</w:t>
      </w:r>
    </w:p>
    <w:p w14:paraId="5E2A3418" w14:textId="77777777" w:rsidR="00BD1716" w:rsidRDefault="00BD1716" w:rsidP="00BD1716">
      <w:pPr>
        <w:numPr>
          <w:ilvl w:val="0"/>
          <w:numId w:val="26"/>
        </w:numPr>
        <w:autoSpaceDE/>
        <w:autoSpaceDN/>
        <w:adjustRightInd/>
        <w:snapToGrid/>
        <w:spacing w:after="0"/>
        <w:jc w:val="left"/>
        <w:rPr>
          <w:lang w:eastAsia="zh-CN"/>
        </w:rPr>
      </w:pPr>
      <w:r w:rsidRPr="00352FBC">
        <w:rPr>
          <w:lang w:eastAsia="zh-CN"/>
        </w:rPr>
        <w:t xml:space="preserve">Further discuss the potential benefits and/or drawbacks of disabling HARQ feedback for NB-IoT and </w:t>
      </w:r>
      <w:proofErr w:type="spellStart"/>
      <w:r w:rsidRPr="00352FBC">
        <w:rPr>
          <w:lang w:eastAsia="zh-CN"/>
        </w:rPr>
        <w:t>eMTC</w:t>
      </w:r>
      <w:proofErr w:type="spellEnd"/>
      <w:r w:rsidRPr="00352FBC">
        <w:rPr>
          <w:lang w:eastAsia="zh-CN"/>
        </w:rPr>
        <w:t>, and consider at least the following number of HARQ processes for the analysis</w:t>
      </w:r>
    </w:p>
    <w:p w14:paraId="141D6EEA" w14:textId="77777777" w:rsidR="00BD1716" w:rsidRPr="00352FBC" w:rsidRDefault="00BD1716" w:rsidP="00BD1716">
      <w:pPr>
        <w:numPr>
          <w:ilvl w:val="1"/>
          <w:numId w:val="26"/>
        </w:numPr>
        <w:autoSpaceDE/>
        <w:autoSpaceDN/>
        <w:adjustRightInd/>
        <w:snapToGrid/>
        <w:spacing w:after="0"/>
        <w:jc w:val="left"/>
        <w:rPr>
          <w:lang w:eastAsia="zh-CN"/>
        </w:rPr>
      </w:pPr>
      <w:r w:rsidRPr="00352FBC">
        <w:rPr>
          <w:lang w:eastAsia="zh-CN"/>
        </w:rPr>
        <w:t xml:space="preserve">NB-IoT: </w:t>
      </w:r>
    </w:p>
    <w:p w14:paraId="4834B397" w14:textId="77777777" w:rsidR="00BD1716" w:rsidRPr="00CC7A2A" w:rsidRDefault="00BD1716" w:rsidP="00BD1716">
      <w:pPr>
        <w:numPr>
          <w:ilvl w:val="2"/>
          <w:numId w:val="25"/>
        </w:numPr>
        <w:autoSpaceDE/>
        <w:autoSpaceDN/>
        <w:adjustRightInd/>
        <w:snapToGrid/>
        <w:spacing w:after="0"/>
        <w:jc w:val="left"/>
        <w:rPr>
          <w:lang w:eastAsia="zh-CN"/>
        </w:rPr>
      </w:pPr>
      <w:r w:rsidRPr="00CC7A2A">
        <w:rPr>
          <w:lang w:eastAsia="zh-CN"/>
        </w:rPr>
        <w:t>Total: 2, disabled: {1,2}</w:t>
      </w:r>
    </w:p>
    <w:p w14:paraId="28DA849E" w14:textId="77777777" w:rsidR="00BD1716" w:rsidRPr="00CC7A2A" w:rsidRDefault="00BD1716" w:rsidP="00BD1716">
      <w:pPr>
        <w:numPr>
          <w:ilvl w:val="1"/>
          <w:numId w:val="26"/>
        </w:numPr>
        <w:autoSpaceDE/>
        <w:autoSpaceDN/>
        <w:adjustRightInd/>
        <w:snapToGrid/>
        <w:spacing w:after="0"/>
        <w:jc w:val="left"/>
        <w:rPr>
          <w:lang w:eastAsia="zh-CN"/>
        </w:rPr>
      </w:pPr>
      <w:proofErr w:type="spellStart"/>
      <w:r w:rsidRPr="00CC7A2A">
        <w:rPr>
          <w:lang w:eastAsia="zh-CN"/>
        </w:rPr>
        <w:t>eMTC</w:t>
      </w:r>
      <w:proofErr w:type="spellEnd"/>
      <w:r w:rsidRPr="00CC7A2A">
        <w:rPr>
          <w:lang w:eastAsia="zh-CN"/>
        </w:rPr>
        <w:t>:</w:t>
      </w:r>
    </w:p>
    <w:p w14:paraId="621E764A" w14:textId="77777777" w:rsidR="00BD1716" w:rsidRPr="00CC7A2A" w:rsidRDefault="00BD1716" w:rsidP="00BD1716">
      <w:pPr>
        <w:numPr>
          <w:ilvl w:val="2"/>
          <w:numId w:val="25"/>
        </w:numPr>
        <w:autoSpaceDE/>
        <w:autoSpaceDN/>
        <w:adjustRightInd/>
        <w:snapToGrid/>
        <w:spacing w:after="0"/>
        <w:jc w:val="left"/>
        <w:rPr>
          <w:lang w:eastAsia="zh-CN"/>
        </w:rPr>
      </w:pPr>
      <w:r w:rsidRPr="00CC7A2A">
        <w:rPr>
          <w:lang w:eastAsia="zh-CN"/>
        </w:rPr>
        <w:t>Total: 2, disabled: {1,2}</w:t>
      </w:r>
    </w:p>
    <w:p w14:paraId="45ACED5E" w14:textId="77777777" w:rsidR="00BD1716" w:rsidRPr="00CC7A2A" w:rsidRDefault="00BD1716" w:rsidP="00BD1716">
      <w:pPr>
        <w:numPr>
          <w:ilvl w:val="2"/>
          <w:numId w:val="25"/>
        </w:numPr>
        <w:autoSpaceDE/>
        <w:autoSpaceDN/>
        <w:adjustRightInd/>
        <w:snapToGrid/>
        <w:spacing w:after="0"/>
        <w:jc w:val="left"/>
        <w:rPr>
          <w:lang w:eastAsia="zh-CN"/>
        </w:rPr>
      </w:pPr>
      <w:r w:rsidRPr="00CC7A2A">
        <w:rPr>
          <w:lang w:eastAsia="zh-CN"/>
        </w:rPr>
        <w:t>Total: 8, disabled: {1,2,7,8}</w:t>
      </w:r>
    </w:p>
    <w:p w14:paraId="161B0BFD" w14:textId="77777777" w:rsidR="00BD1716" w:rsidRPr="00CC7A2A" w:rsidRDefault="00BD1716" w:rsidP="00BD1716">
      <w:pPr>
        <w:numPr>
          <w:ilvl w:val="0"/>
          <w:numId w:val="25"/>
        </w:numPr>
        <w:autoSpaceDE/>
        <w:autoSpaceDN/>
        <w:adjustRightInd/>
        <w:snapToGrid/>
        <w:spacing w:after="0"/>
        <w:jc w:val="left"/>
        <w:rPr>
          <w:lang w:eastAsia="zh-CN"/>
        </w:rPr>
      </w:pPr>
      <w:r w:rsidRPr="00CC7A2A">
        <w:t>Other values for number of HARQ processes below the maximum value can be discussed</w:t>
      </w:r>
    </w:p>
    <w:p w14:paraId="26A79E69" w14:textId="77777777" w:rsidR="00BD1716" w:rsidRPr="00CC7A2A" w:rsidRDefault="00BD1716" w:rsidP="00BD1716">
      <w:pPr>
        <w:numPr>
          <w:ilvl w:val="0"/>
          <w:numId w:val="25"/>
        </w:numPr>
        <w:autoSpaceDE/>
        <w:autoSpaceDN/>
        <w:adjustRightInd/>
        <w:snapToGrid/>
        <w:spacing w:after="0"/>
        <w:jc w:val="left"/>
        <w:rPr>
          <w:lang w:eastAsia="zh-CN"/>
        </w:rPr>
      </w:pPr>
      <w:r w:rsidRPr="00CC7A2A">
        <w:rPr>
          <w:lang w:eastAsia="zh-CN"/>
        </w:rPr>
        <w:t>FFS: whether to consider separately LEO and GEO scenarios</w:t>
      </w:r>
    </w:p>
    <w:p w14:paraId="0774F026" w14:textId="77777777" w:rsidR="00BD1716" w:rsidRPr="00CC7A2A" w:rsidRDefault="00BD1716" w:rsidP="00BD1716">
      <w:pPr>
        <w:numPr>
          <w:ilvl w:val="0"/>
          <w:numId w:val="25"/>
        </w:numPr>
        <w:autoSpaceDE/>
        <w:autoSpaceDN/>
        <w:adjustRightInd/>
        <w:snapToGrid/>
        <w:spacing w:after="0"/>
        <w:jc w:val="left"/>
        <w:rPr>
          <w:lang w:eastAsia="zh-CN"/>
        </w:rPr>
      </w:pPr>
      <w:r w:rsidRPr="00CC7A2A">
        <w:rPr>
          <w:lang w:eastAsia="zh-CN"/>
        </w:rPr>
        <w:t>FFS: whether to allow disabling of HARQ feedback in case of single HARQ process</w:t>
      </w:r>
    </w:p>
    <w:p w14:paraId="2C2D98A7" w14:textId="77777777" w:rsidR="00BD1716" w:rsidRPr="00CC7A2A" w:rsidRDefault="00BD1716" w:rsidP="00BD1716">
      <w:pPr>
        <w:numPr>
          <w:ilvl w:val="0"/>
          <w:numId w:val="25"/>
        </w:numPr>
        <w:autoSpaceDE/>
        <w:autoSpaceDN/>
        <w:adjustRightInd/>
        <w:snapToGrid/>
        <w:spacing w:after="0"/>
        <w:jc w:val="left"/>
        <w:rPr>
          <w:lang w:eastAsia="zh-CN"/>
        </w:rPr>
      </w:pPr>
      <w:r w:rsidRPr="00CC7A2A">
        <w:t>FFS: whether to allow disabling of all HARQ feedback</w:t>
      </w:r>
    </w:p>
    <w:p w14:paraId="6C461702" w14:textId="77777777" w:rsidR="00BD1716" w:rsidRPr="00CC7A2A" w:rsidRDefault="00BD1716" w:rsidP="00BD1716">
      <w:pPr>
        <w:numPr>
          <w:ilvl w:val="0"/>
          <w:numId w:val="25"/>
        </w:numPr>
        <w:autoSpaceDE/>
        <w:autoSpaceDN/>
        <w:adjustRightInd/>
        <w:snapToGrid/>
        <w:spacing w:after="0"/>
        <w:jc w:val="left"/>
        <w:rPr>
          <w:lang w:eastAsia="zh-CN"/>
        </w:rPr>
      </w:pPr>
      <w:r w:rsidRPr="00CC7A2A">
        <w:rPr>
          <w:szCs w:val="20"/>
        </w:rPr>
        <w:t>FFS: other details for the evaluation/analysis</w:t>
      </w:r>
    </w:p>
    <w:p w14:paraId="1F010710" w14:textId="77777777" w:rsidR="00BD1716" w:rsidRDefault="00BD1716" w:rsidP="00D176D9">
      <w:pPr>
        <w:rPr>
          <w:lang w:eastAsia="zh-CN"/>
        </w:rPr>
      </w:pPr>
    </w:p>
    <w:p w14:paraId="2BBA77E3" w14:textId="70F4A8D8" w:rsidR="00FB6550" w:rsidRDefault="00FB6550" w:rsidP="00D176D9">
      <w:pPr>
        <w:rPr>
          <w:lang w:eastAsia="zh-CN"/>
        </w:rPr>
      </w:pPr>
    </w:p>
    <w:p w14:paraId="74FE4C98" w14:textId="091BEC42" w:rsidR="0008742B" w:rsidRDefault="00280EFE" w:rsidP="00D176D9">
      <w:pPr>
        <w:rPr>
          <w:lang w:eastAsia="zh-CN"/>
        </w:rPr>
      </w:pPr>
      <w:r>
        <w:rPr>
          <w:lang w:eastAsia="zh-CN"/>
        </w:rPr>
        <w:t xml:space="preserve">There is a desire to consider only essential functionality </w:t>
      </w:r>
      <w:r w:rsidR="00830207">
        <w:rPr>
          <w:lang w:eastAsia="zh-CN"/>
        </w:rPr>
        <w:t>for the support of IoT-NTN up until RANP#93e.</w:t>
      </w:r>
      <w:r w:rsidR="00AF123E">
        <w:rPr>
          <w:lang w:eastAsia="zh-CN"/>
        </w:rPr>
        <w:t xml:space="preserve"> </w:t>
      </w:r>
      <w:r w:rsidR="00A06D71">
        <w:rPr>
          <w:lang w:eastAsia="zh-CN"/>
        </w:rPr>
        <w:t>HARQ functionality enhances the performance of IoT-NTN</w:t>
      </w:r>
      <w:r w:rsidR="005C0995">
        <w:rPr>
          <w:lang w:eastAsia="zh-CN"/>
        </w:rPr>
        <w:t xml:space="preserve">, </w:t>
      </w:r>
      <w:r w:rsidR="006A1CA7">
        <w:rPr>
          <w:lang w:eastAsia="zh-CN"/>
        </w:rPr>
        <w:t xml:space="preserve">enabling some of the 5G </w:t>
      </w:r>
      <w:proofErr w:type="spellStart"/>
      <w:r w:rsidR="006A1CA7">
        <w:rPr>
          <w:lang w:eastAsia="zh-CN"/>
        </w:rPr>
        <w:t>mMTC</w:t>
      </w:r>
      <w:proofErr w:type="spellEnd"/>
      <w:r w:rsidR="006A1CA7">
        <w:rPr>
          <w:lang w:eastAsia="zh-CN"/>
        </w:rPr>
        <w:t xml:space="preserve"> KPIs to be </w:t>
      </w:r>
      <w:r w:rsidR="00F27AE9">
        <w:rPr>
          <w:lang w:eastAsia="zh-CN"/>
        </w:rPr>
        <w:t xml:space="preserve">achieved, </w:t>
      </w:r>
      <w:r w:rsidR="005C0995">
        <w:rPr>
          <w:lang w:eastAsia="zh-CN"/>
        </w:rPr>
        <w:t>but it is not necessarily essential functionality</w:t>
      </w:r>
      <w:r w:rsidR="00F27AE9">
        <w:rPr>
          <w:lang w:eastAsia="zh-CN"/>
        </w:rPr>
        <w:t>, for which the performance bar is lower</w:t>
      </w:r>
      <w:r w:rsidR="005C0995">
        <w:rPr>
          <w:lang w:eastAsia="zh-CN"/>
        </w:rPr>
        <w:t xml:space="preserve">. </w:t>
      </w:r>
      <w:r w:rsidR="009C71A0">
        <w:rPr>
          <w:lang w:eastAsia="zh-CN"/>
        </w:rPr>
        <w:t xml:space="preserve"> </w:t>
      </w:r>
    </w:p>
    <w:p w14:paraId="0F43564E" w14:textId="5C5B0B88" w:rsidR="00F70A53" w:rsidRDefault="00F70A53" w:rsidP="00D176D9">
      <w:pPr>
        <w:rPr>
          <w:lang w:eastAsia="zh-CN"/>
        </w:rPr>
      </w:pPr>
      <w:r>
        <w:rPr>
          <w:lang w:eastAsia="zh-CN"/>
        </w:rPr>
        <w:t xml:space="preserve">This document considers </w:t>
      </w:r>
      <w:r w:rsidR="00F930D5">
        <w:rPr>
          <w:lang w:eastAsia="zh-CN"/>
        </w:rPr>
        <w:t>some HARQ enhancements</w:t>
      </w:r>
      <w:r w:rsidR="004A254D">
        <w:rPr>
          <w:lang w:eastAsia="zh-CN"/>
        </w:rPr>
        <w:t xml:space="preserve"> that can be studied as the study item progresses.</w:t>
      </w:r>
      <w:r w:rsidR="00F930D5">
        <w:rPr>
          <w:lang w:eastAsia="zh-CN"/>
        </w:rPr>
        <w:t xml:space="preserve"> </w:t>
      </w:r>
    </w:p>
    <w:p w14:paraId="34A101B0" w14:textId="1FCA8133" w:rsidR="00FB6550" w:rsidRDefault="00FB6550" w:rsidP="00D176D9">
      <w:pPr>
        <w:rPr>
          <w:lang w:eastAsia="zh-CN"/>
        </w:rPr>
      </w:pPr>
    </w:p>
    <w:p w14:paraId="2F77B99C" w14:textId="77777777" w:rsidR="00FB6550" w:rsidRPr="00094F43" w:rsidRDefault="00FB6550" w:rsidP="00FB6550">
      <w:pPr>
        <w:pStyle w:val="Heading1"/>
        <w:spacing w:after="80"/>
        <w:jc w:val="left"/>
        <w:rPr>
          <w:sz w:val="24"/>
          <w:lang w:eastAsia="zh-CN"/>
        </w:rPr>
      </w:pPr>
      <w:r>
        <w:rPr>
          <w:sz w:val="24"/>
          <w:lang w:eastAsia="zh-CN"/>
        </w:rPr>
        <w:t>HARQ cycle occupancy</w:t>
      </w:r>
    </w:p>
    <w:p w14:paraId="1F186B18" w14:textId="77777777" w:rsidR="00FB6550" w:rsidRDefault="00FB6550" w:rsidP="00FB6550">
      <w:pPr>
        <w:rPr>
          <w:bCs/>
        </w:rPr>
      </w:pPr>
      <w:r>
        <w:rPr>
          <w:bCs/>
        </w:rPr>
        <w:t xml:space="preserve">This section aims to provide estimates of the sustained data rates that can be supported over IoT-NTN and the proportion of the HARQ cycle that can be used for data transmission. </w:t>
      </w:r>
    </w:p>
    <w:p w14:paraId="06D12DE5" w14:textId="56ED9706" w:rsidR="00FB6550" w:rsidRDefault="00FB6550" w:rsidP="00FB6550">
      <w:pPr>
        <w:rPr>
          <w:bCs/>
        </w:rPr>
      </w:pPr>
      <w:r>
        <w:rPr>
          <w:bCs/>
        </w:rPr>
        <w:fldChar w:fldCharType="begin"/>
      </w:r>
      <w:r>
        <w:rPr>
          <w:bCs/>
        </w:rPr>
        <w:instrText xml:space="preserve"> REF _Ref54291293 \h </w:instrText>
      </w:r>
      <w:r>
        <w:rPr>
          <w:bCs/>
        </w:rPr>
      </w:r>
      <w:r>
        <w:rPr>
          <w:bCs/>
        </w:rPr>
        <w:fldChar w:fldCharType="separate"/>
      </w:r>
      <w:r w:rsidR="00C6101A">
        <w:t xml:space="preserve">Table </w:t>
      </w:r>
      <w:r w:rsidR="00C6101A">
        <w:rPr>
          <w:noProof/>
        </w:rPr>
        <w:t>1</w:t>
      </w:r>
      <w:r>
        <w:rPr>
          <w:bCs/>
        </w:rPr>
        <w:fldChar w:fldCharType="end"/>
      </w:r>
      <w:r>
        <w:rPr>
          <w:bCs/>
        </w:rPr>
        <w:t xml:space="preserve"> lists the assumptions used in estimating the data rates that can be supported over NTN for </w:t>
      </w:r>
      <w:proofErr w:type="spellStart"/>
      <w:r>
        <w:rPr>
          <w:bCs/>
        </w:rPr>
        <w:t>eMTC</w:t>
      </w:r>
      <w:proofErr w:type="spellEnd"/>
      <w:r>
        <w:rPr>
          <w:bCs/>
        </w:rPr>
        <w:t>, assuming that HARQ is supported. T</w:t>
      </w:r>
      <w:r w:rsidRPr="00671FA9">
        <w:rPr>
          <w:bCs/>
          <w:vertAlign w:val="subscript"/>
        </w:rPr>
        <w:t>PUSCH</w:t>
      </w:r>
      <w:r>
        <w:rPr>
          <w:bCs/>
        </w:rPr>
        <w:t xml:space="preserve"> is the duration of the PUSCH transmission in milliseconds and accounts for the number of repetitions required to transmit the PUSCH. The </w:t>
      </w:r>
      <w:proofErr w:type="gramStart"/>
      <w:r>
        <w:rPr>
          <w:bCs/>
        </w:rPr>
        <w:t>round trip</w:t>
      </w:r>
      <w:proofErr w:type="gramEnd"/>
      <w:r>
        <w:rPr>
          <w:bCs/>
        </w:rPr>
        <w:t xml:space="preserve"> times are taken from the agreed scenarios </w:t>
      </w:r>
      <w:r w:rsidR="00E54194">
        <w:rPr>
          <w:bCs/>
        </w:rPr>
        <w:t>in TR36.763</w:t>
      </w:r>
      <w:r w:rsidR="001F10DF">
        <w:rPr>
          <w:bCs/>
        </w:rPr>
        <w:t xml:space="preserve"> </w:t>
      </w:r>
      <w:r w:rsidR="001F10DF">
        <w:rPr>
          <w:bCs/>
        </w:rPr>
        <w:fldChar w:fldCharType="begin"/>
      </w:r>
      <w:r w:rsidR="001F10DF">
        <w:rPr>
          <w:bCs/>
        </w:rPr>
        <w:instrText xml:space="preserve"> REF _Ref68653232 \r \h </w:instrText>
      </w:r>
      <w:r w:rsidR="001F10DF">
        <w:rPr>
          <w:bCs/>
        </w:rPr>
      </w:r>
      <w:r w:rsidR="001F10DF">
        <w:rPr>
          <w:bCs/>
        </w:rPr>
        <w:fldChar w:fldCharType="separate"/>
      </w:r>
      <w:r w:rsidR="001F10DF">
        <w:rPr>
          <w:bCs/>
        </w:rPr>
        <w:t>[2]</w:t>
      </w:r>
      <w:r w:rsidR="001F10DF">
        <w:rPr>
          <w:bCs/>
        </w:rPr>
        <w:fldChar w:fldCharType="end"/>
      </w:r>
      <w:r w:rsidR="00474542">
        <w:rPr>
          <w:bCs/>
        </w:rPr>
        <w:t>. Note that more accurate estimates for the time taken</w:t>
      </w:r>
      <w:r w:rsidR="00871848">
        <w:rPr>
          <w:bCs/>
        </w:rPr>
        <w:t xml:space="preserve"> to transmit PUSCH can be determined once link level simulation assumptions for IoT-NTN are agreed in agen</w:t>
      </w:r>
      <w:r w:rsidR="005F295D">
        <w:rPr>
          <w:bCs/>
        </w:rPr>
        <w:t>da item 8.15.1.</w:t>
      </w:r>
    </w:p>
    <w:p w14:paraId="40423F2D" w14:textId="77777777" w:rsidR="005F295D" w:rsidRDefault="005F295D" w:rsidP="00FB6550">
      <w:pPr>
        <w:rPr>
          <w:bCs/>
        </w:rPr>
      </w:pPr>
    </w:p>
    <w:p w14:paraId="21DA6A2F" w14:textId="14526F5A" w:rsidR="00FB6550" w:rsidRDefault="00FB6550" w:rsidP="00FB6550">
      <w:pPr>
        <w:pStyle w:val="Caption"/>
      </w:pPr>
      <w:bookmarkStart w:id="2" w:name="_Ref54291293"/>
      <w:r>
        <w:t xml:space="preserve">Table </w:t>
      </w:r>
      <w:fldSimple w:instr=" SEQ Table \* ARABIC ">
        <w:r w:rsidR="00C6101A">
          <w:rPr>
            <w:noProof/>
          </w:rPr>
          <w:t>1</w:t>
        </w:r>
      </w:fldSimple>
      <w:bookmarkEnd w:id="2"/>
      <w:r>
        <w:t xml:space="preserve"> – Assumptions for estimating </w:t>
      </w:r>
      <w:proofErr w:type="spellStart"/>
      <w:r>
        <w:t>eMTC</w:t>
      </w:r>
      <w:proofErr w:type="spellEnd"/>
      <w:r>
        <w:t xml:space="preserve"> sustained data rates when HARQ is applied</w:t>
      </w:r>
    </w:p>
    <w:tbl>
      <w:tblPr>
        <w:tblStyle w:val="TableGrid"/>
        <w:tblW w:w="0" w:type="auto"/>
        <w:jc w:val="center"/>
        <w:tblLook w:val="04A0" w:firstRow="1" w:lastRow="0" w:firstColumn="1" w:lastColumn="0" w:noHBand="0" w:noVBand="1"/>
      </w:tblPr>
      <w:tblGrid>
        <w:gridCol w:w="1536"/>
        <w:gridCol w:w="1321"/>
        <w:gridCol w:w="1612"/>
        <w:gridCol w:w="1613"/>
      </w:tblGrid>
      <w:tr w:rsidR="00FB6550" w14:paraId="051712EE" w14:textId="77777777" w:rsidTr="00611C5B">
        <w:trPr>
          <w:jc w:val="center"/>
        </w:trPr>
        <w:tc>
          <w:tcPr>
            <w:tcW w:w="1536" w:type="dxa"/>
            <w:tcBorders>
              <w:top w:val="nil"/>
              <w:left w:val="nil"/>
              <w:right w:val="nil"/>
            </w:tcBorders>
            <w:shd w:val="clear" w:color="auto" w:fill="auto"/>
          </w:tcPr>
          <w:p w14:paraId="53284532" w14:textId="77777777" w:rsidR="00FB6550" w:rsidRDefault="00FB6550" w:rsidP="00611C5B">
            <w:pPr>
              <w:rPr>
                <w:bCs/>
              </w:rPr>
            </w:pPr>
          </w:p>
        </w:tc>
        <w:tc>
          <w:tcPr>
            <w:tcW w:w="1321" w:type="dxa"/>
            <w:tcBorders>
              <w:top w:val="nil"/>
              <w:left w:val="nil"/>
            </w:tcBorders>
            <w:shd w:val="clear" w:color="auto" w:fill="auto"/>
          </w:tcPr>
          <w:p w14:paraId="4AF36AE0" w14:textId="77777777" w:rsidR="00FB6550" w:rsidRDefault="00FB6550" w:rsidP="00611C5B">
            <w:pPr>
              <w:rPr>
                <w:bCs/>
              </w:rPr>
            </w:pPr>
          </w:p>
        </w:tc>
        <w:tc>
          <w:tcPr>
            <w:tcW w:w="3225" w:type="dxa"/>
            <w:gridSpan w:val="2"/>
            <w:shd w:val="clear" w:color="auto" w:fill="D9D9D9" w:themeFill="background1" w:themeFillShade="D9"/>
          </w:tcPr>
          <w:p w14:paraId="7757F9CD" w14:textId="77777777" w:rsidR="00FB6550" w:rsidRPr="00671FA9" w:rsidRDefault="00FB6550" w:rsidP="00611C5B">
            <w:pPr>
              <w:rPr>
                <w:b/>
              </w:rPr>
            </w:pPr>
            <w:proofErr w:type="spellStart"/>
            <w:r w:rsidRPr="00671FA9">
              <w:rPr>
                <w:b/>
              </w:rPr>
              <w:t>eMTC</w:t>
            </w:r>
            <w:proofErr w:type="spellEnd"/>
          </w:p>
        </w:tc>
      </w:tr>
      <w:tr w:rsidR="00FB6550" w14:paraId="2898AB4E" w14:textId="77777777" w:rsidTr="00611C5B">
        <w:trPr>
          <w:jc w:val="center"/>
        </w:trPr>
        <w:tc>
          <w:tcPr>
            <w:tcW w:w="1536" w:type="dxa"/>
            <w:shd w:val="clear" w:color="auto" w:fill="D9D9D9" w:themeFill="background1" w:themeFillShade="D9"/>
          </w:tcPr>
          <w:p w14:paraId="613DE5D6" w14:textId="77777777" w:rsidR="00FB6550" w:rsidRPr="00671FA9" w:rsidRDefault="00FB6550" w:rsidP="00611C5B">
            <w:pPr>
              <w:rPr>
                <w:b/>
              </w:rPr>
            </w:pPr>
            <w:r w:rsidRPr="00671FA9">
              <w:rPr>
                <w:b/>
              </w:rPr>
              <w:t>Constellation</w:t>
            </w:r>
          </w:p>
        </w:tc>
        <w:tc>
          <w:tcPr>
            <w:tcW w:w="1321" w:type="dxa"/>
            <w:shd w:val="clear" w:color="auto" w:fill="D9D9D9" w:themeFill="background1" w:themeFillShade="D9"/>
          </w:tcPr>
          <w:p w14:paraId="1EA7377C" w14:textId="77777777" w:rsidR="00FB6550" w:rsidRPr="00671FA9" w:rsidRDefault="00FB6550" w:rsidP="00611C5B">
            <w:pPr>
              <w:rPr>
                <w:b/>
              </w:rPr>
            </w:pPr>
            <w:r w:rsidRPr="00671FA9">
              <w:rPr>
                <w:b/>
              </w:rPr>
              <w:t>RTT (</w:t>
            </w:r>
            <w:proofErr w:type="spellStart"/>
            <w:r w:rsidRPr="00671FA9">
              <w:rPr>
                <w:b/>
              </w:rPr>
              <w:t>ms</w:t>
            </w:r>
            <w:proofErr w:type="spellEnd"/>
            <w:r w:rsidRPr="00671FA9">
              <w:rPr>
                <w:b/>
              </w:rPr>
              <w:t>)</w:t>
            </w:r>
          </w:p>
        </w:tc>
        <w:tc>
          <w:tcPr>
            <w:tcW w:w="1612" w:type="dxa"/>
            <w:shd w:val="clear" w:color="auto" w:fill="D9D9D9" w:themeFill="background1" w:themeFillShade="D9"/>
          </w:tcPr>
          <w:p w14:paraId="10084360" w14:textId="77777777" w:rsidR="00FB6550" w:rsidRPr="00671FA9" w:rsidRDefault="00FB6550" w:rsidP="00611C5B">
            <w:pPr>
              <w:rPr>
                <w:b/>
              </w:rPr>
            </w:pPr>
            <w:r w:rsidRPr="00671FA9">
              <w:rPr>
                <w:b/>
              </w:rPr>
              <w:t>TBS</w:t>
            </w:r>
          </w:p>
        </w:tc>
        <w:tc>
          <w:tcPr>
            <w:tcW w:w="1613" w:type="dxa"/>
            <w:shd w:val="clear" w:color="auto" w:fill="D9D9D9" w:themeFill="background1" w:themeFillShade="D9"/>
          </w:tcPr>
          <w:p w14:paraId="280D7D9D" w14:textId="77777777" w:rsidR="00FB6550" w:rsidRPr="00671FA9" w:rsidRDefault="00FB6550" w:rsidP="00611C5B">
            <w:pPr>
              <w:rPr>
                <w:b/>
              </w:rPr>
            </w:pPr>
            <w:r w:rsidRPr="00671FA9">
              <w:rPr>
                <w:b/>
              </w:rPr>
              <w:t>T</w:t>
            </w:r>
            <w:r w:rsidRPr="00671FA9">
              <w:rPr>
                <w:b/>
                <w:vertAlign w:val="subscript"/>
              </w:rPr>
              <w:t>PUSCH</w:t>
            </w:r>
          </w:p>
        </w:tc>
      </w:tr>
      <w:tr w:rsidR="00FB6550" w14:paraId="5A54B78D" w14:textId="77777777" w:rsidTr="00611C5B">
        <w:trPr>
          <w:jc w:val="center"/>
        </w:trPr>
        <w:tc>
          <w:tcPr>
            <w:tcW w:w="1536" w:type="dxa"/>
          </w:tcPr>
          <w:p w14:paraId="03F09CD1" w14:textId="77777777" w:rsidR="00FB6550" w:rsidRDefault="00FB6550" w:rsidP="00611C5B">
            <w:pPr>
              <w:rPr>
                <w:bCs/>
              </w:rPr>
            </w:pPr>
            <w:r>
              <w:rPr>
                <w:bCs/>
              </w:rPr>
              <w:t>GEO</w:t>
            </w:r>
          </w:p>
        </w:tc>
        <w:tc>
          <w:tcPr>
            <w:tcW w:w="1321" w:type="dxa"/>
          </w:tcPr>
          <w:p w14:paraId="40BCAA5C" w14:textId="77777777" w:rsidR="00FB6550" w:rsidRDefault="00FB6550" w:rsidP="00611C5B">
            <w:pPr>
              <w:rPr>
                <w:bCs/>
              </w:rPr>
            </w:pPr>
            <w:r>
              <w:rPr>
                <w:bCs/>
              </w:rPr>
              <w:t>541.46</w:t>
            </w:r>
          </w:p>
        </w:tc>
        <w:tc>
          <w:tcPr>
            <w:tcW w:w="1612" w:type="dxa"/>
          </w:tcPr>
          <w:p w14:paraId="20E05A40" w14:textId="77777777" w:rsidR="00FB6550" w:rsidRDefault="00FB6550" w:rsidP="00611C5B">
            <w:pPr>
              <w:rPr>
                <w:bCs/>
              </w:rPr>
            </w:pPr>
            <w:r>
              <w:rPr>
                <w:bCs/>
              </w:rPr>
              <w:t>504</w:t>
            </w:r>
          </w:p>
        </w:tc>
        <w:tc>
          <w:tcPr>
            <w:tcW w:w="1613" w:type="dxa"/>
          </w:tcPr>
          <w:p w14:paraId="59F30005" w14:textId="77777777" w:rsidR="00FB6550" w:rsidRDefault="00FB6550" w:rsidP="00611C5B">
            <w:pPr>
              <w:rPr>
                <w:bCs/>
              </w:rPr>
            </w:pPr>
            <w:r>
              <w:rPr>
                <w:bCs/>
              </w:rPr>
              <w:t>256ms</w:t>
            </w:r>
          </w:p>
        </w:tc>
      </w:tr>
      <w:tr w:rsidR="00FB6550" w14:paraId="0E17DD36" w14:textId="77777777" w:rsidTr="00611C5B">
        <w:trPr>
          <w:jc w:val="center"/>
        </w:trPr>
        <w:tc>
          <w:tcPr>
            <w:tcW w:w="1536" w:type="dxa"/>
          </w:tcPr>
          <w:p w14:paraId="7F128019" w14:textId="77777777" w:rsidR="00FB6550" w:rsidRDefault="00FB6550" w:rsidP="00611C5B">
            <w:pPr>
              <w:rPr>
                <w:bCs/>
              </w:rPr>
            </w:pPr>
            <w:r>
              <w:rPr>
                <w:bCs/>
              </w:rPr>
              <w:t>LEO-600</w:t>
            </w:r>
          </w:p>
        </w:tc>
        <w:tc>
          <w:tcPr>
            <w:tcW w:w="1321" w:type="dxa"/>
          </w:tcPr>
          <w:p w14:paraId="03C94429" w14:textId="77777777" w:rsidR="00FB6550" w:rsidRDefault="00FB6550" w:rsidP="00611C5B">
            <w:pPr>
              <w:rPr>
                <w:bCs/>
              </w:rPr>
            </w:pPr>
            <w:r>
              <w:rPr>
                <w:bCs/>
              </w:rPr>
              <w:t>25.77</w:t>
            </w:r>
          </w:p>
        </w:tc>
        <w:tc>
          <w:tcPr>
            <w:tcW w:w="1612" w:type="dxa"/>
          </w:tcPr>
          <w:p w14:paraId="5B487CC9" w14:textId="77777777" w:rsidR="00FB6550" w:rsidRDefault="00FB6550" w:rsidP="00611C5B">
            <w:pPr>
              <w:rPr>
                <w:bCs/>
              </w:rPr>
            </w:pPr>
            <w:r>
              <w:rPr>
                <w:bCs/>
              </w:rPr>
              <w:t>504</w:t>
            </w:r>
          </w:p>
        </w:tc>
        <w:tc>
          <w:tcPr>
            <w:tcW w:w="1613" w:type="dxa"/>
          </w:tcPr>
          <w:p w14:paraId="06E80516" w14:textId="77777777" w:rsidR="00FB6550" w:rsidRDefault="00FB6550" w:rsidP="00611C5B">
            <w:pPr>
              <w:rPr>
                <w:bCs/>
              </w:rPr>
            </w:pPr>
            <w:r>
              <w:rPr>
                <w:bCs/>
              </w:rPr>
              <w:t>128ms</w:t>
            </w:r>
          </w:p>
        </w:tc>
      </w:tr>
      <w:tr w:rsidR="00FB6550" w14:paraId="23F88232" w14:textId="77777777" w:rsidTr="00611C5B">
        <w:trPr>
          <w:jc w:val="center"/>
        </w:trPr>
        <w:tc>
          <w:tcPr>
            <w:tcW w:w="1536" w:type="dxa"/>
          </w:tcPr>
          <w:p w14:paraId="448E0748" w14:textId="77777777" w:rsidR="00FB6550" w:rsidRDefault="00FB6550" w:rsidP="00611C5B">
            <w:pPr>
              <w:rPr>
                <w:bCs/>
              </w:rPr>
            </w:pPr>
            <w:r>
              <w:rPr>
                <w:bCs/>
              </w:rPr>
              <w:t>LEO-1200</w:t>
            </w:r>
          </w:p>
        </w:tc>
        <w:tc>
          <w:tcPr>
            <w:tcW w:w="1321" w:type="dxa"/>
          </w:tcPr>
          <w:p w14:paraId="17BA2482" w14:textId="77777777" w:rsidR="00FB6550" w:rsidRDefault="00FB6550" w:rsidP="00611C5B">
            <w:pPr>
              <w:rPr>
                <w:bCs/>
              </w:rPr>
            </w:pPr>
            <w:r>
              <w:rPr>
                <w:bCs/>
              </w:rPr>
              <w:t>41.77</w:t>
            </w:r>
          </w:p>
        </w:tc>
        <w:tc>
          <w:tcPr>
            <w:tcW w:w="1612" w:type="dxa"/>
          </w:tcPr>
          <w:p w14:paraId="5B17506A" w14:textId="77777777" w:rsidR="00FB6550" w:rsidRDefault="00FB6550" w:rsidP="00611C5B">
            <w:pPr>
              <w:rPr>
                <w:bCs/>
              </w:rPr>
            </w:pPr>
            <w:r>
              <w:rPr>
                <w:bCs/>
              </w:rPr>
              <w:t>504</w:t>
            </w:r>
          </w:p>
        </w:tc>
        <w:tc>
          <w:tcPr>
            <w:tcW w:w="1613" w:type="dxa"/>
          </w:tcPr>
          <w:p w14:paraId="2874CD66" w14:textId="77777777" w:rsidR="00FB6550" w:rsidRDefault="00FB6550" w:rsidP="00611C5B">
            <w:pPr>
              <w:rPr>
                <w:bCs/>
              </w:rPr>
            </w:pPr>
            <w:r>
              <w:rPr>
                <w:bCs/>
              </w:rPr>
              <w:t>1024ms</w:t>
            </w:r>
          </w:p>
        </w:tc>
      </w:tr>
    </w:tbl>
    <w:p w14:paraId="0FA77E3A" w14:textId="77777777" w:rsidR="00FB6550" w:rsidRDefault="00FB6550" w:rsidP="00FB6550">
      <w:pPr>
        <w:rPr>
          <w:bCs/>
        </w:rPr>
      </w:pPr>
    </w:p>
    <w:p w14:paraId="27A2242E" w14:textId="30E9B0FF" w:rsidR="00FB6550" w:rsidRDefault="00FB6550" w:rsidP="00FB6550">
      <w:pPr>
        <w:rPr>
          <w:bCs/>
        </w:rPr>
      </w:pPr>
      <w:r>
        <w:rPr>
          <w:bCs/>
        </w:rPr>
        <w:fldChar w:fldCharType="begin"/>
      </w:r>
      <w:r>
        <w:rPr>
          <w:bCs/>
        </w:rPr>
        <w:instrText xml:space="preserve"> REF _Ref54291207 \h </w:instrText>
      </w:r>
      <w:r>
        <w:rPr>
          <w:bCs/>
        </w:rPr>
      </w:r>
      <w:r>
        <w:rPr>
          <w:bCs/>
        </w:rPr>
        <w:fldChar w:fldCharType="separate"/>
      </w:r>
      <w:r w:rsidR="00C6101A">
        <w:t xml:space="preserve">Figure </w:t>
      </w:r>
      <w:r w:rsidR="00C6101A">
        <w:rPr>
          <w:noProof/>
        </w:rPr>
        <w:t>1</w:t>
      </w:r>
      <w:r>
        <w:rPr>
          <w:bCs/>
        </w:rPr>
        <w:fldChar w:fldCharType="end"/>
      </w:r>
      <w:r>
        <w:rPr>
          <w:bCs/>
        </w:rPr>
        <w:t xml:space="preserve"> shows an example HARQ cycle for </w:t>
      </w:r>
      <w:proofErr w:type="spellStart"/>
      <w:r>
        <w:rPr>
          <w:bCs/>
        </w:rPr>
        <w:t>eMTC</w:t>
      </w:r>
      <w:proofErr w:type="spellEnd"/>
      <w:r>
        <w:rPr>
          <w:bCs/>
        </w:rPr>
        <w:t xml:space="preserve"> operation over GEO. 2 HARQ processes are assumed as the UE is operating in CE Mode B. The times to transmit the PUSCH are taken from </w:t>
      </w:r>
      <w:r>
        <w:rPr>
          <w:bCs/>
        </w:rPr>
        <w:fldChar w:fldCharType="begin"/>
      </w:r>
      <w:r>
        <w:rPr>
          <w:bCs/>
        </w:rPr>
        <w:instrText xml:space="preserve"> REF _Ref54291293 \h </w:instrText>
      </w:r>
      <w:r>
        <w:rPr>
          <w:bCs/>
        </w:rPr>
      </w:r>
      <w:r>
        <w:rPr>
          <w:bCs/>
        </w:rPr>
        <w:fldChar w:fldCharType="separate"/>
      </w:r>
      <w:r w:rsidR="00C6101A">
        <w:t xml:space="preserve">Table </w:t>
      </w:r>
      <w:r w:rsidR="00C6101A">
        <w:rPr>
          <w:noProof/>
        </w:rPr>
        <w:t>1</w:t>
      </w:r>
      <w:r>
        <w:rPr>
          <w:bCs/>
        </w:rPr>
        <w:fldChar w:fldCharType="end"/>
      </w:r>
      <w:r>
        <w:rPr>
          <w:bCs/>
        </w:rPr>
        <w:t xml:space="preserve">. It is assumed that a negligible number of repetitions is required to transmit MPDCCH (the SNR available for MPDCCH is comparatively high). The assumptions on MPDCCH processing time and </w:t>
      </w:r>
      <w:proofErr w:type="spellStart"/>
      <w:r>
        <w:rPr>
          <w:bCs/>
        </w:rPr>
        <w:t>gNB</w:t>
      </w:r>
      <w:proofErr w:type="spellEnd"/>
      <w:r>
        <w:rPr>
          <w:bCs/>
        </w:rPr>
        <w:t xml:space="preserve"> processing and scheduling times are according to the usual assumptions for Rel-13 -&gt; Rel-16 </w:t>
      </w:r>
      <w:proofErr w:type="spellStart"/>
      <w:r>
        <w:rPr>
          <w:bCs/>
        </w:rPr>
        <w:t>eMTC</w:t>
      </w:r>
      <w:proofErr w:type="spellEnd"/>
      <w:r>
        <w:rPr>
          <w:bCs/>
        </w:rPr>
        <w:t xml:space="preserve">. Based on the HARQ cycle time illustrated in </w:t>
      </w:r>
      <w:r>
        <w:rPr>
          <w:bCs/>
        </w:rPr>
        <w:fldChar w:fldCharType="begin"/>
      </w:r>
      <w:r>
        <w:rPr>
          <w:bCs/>
        </w:rPr>
        <w:instrText xml:space="preserve"> REF _Ref54291207 \h </w:instrText>
      </w:r>
      <w:r>
        <w:rPr>
          <w:bCs/>
        </w:rPr>
      </w:r>
      <w:r>
        <w:rPr>
          <w:bCs/>
        </w:rPr>
        <w:fldChar w:fldCharType="separate"/>
      </w:r>
      <w:r w:rsidR="00C6101A">
        <w:t xml:space="preserve">Figure </w:t>
      </w:r>
      <w:r w:rsidR="00C6101A">
        <w:rPr>
          <w:noProof/>
        </w:rPr>
        <w:t>1</w:t>
      </w:r>
      <w:r>
        <w:rPr>
          <w:bCs/>
        </w:rPr>
        <w:fldChar w:fldCharType="end"/>
      </w:r>
      <w:r>
        <w:rPr>
          <w:bCs/>
        </w:rPr>
        <w:t xml:space="preserve"> (806ms), the IoT-NTN link over GEO supports a data rate of 1250bps. 63% of the HARQ cycle time (512ms out of 806ms) is occupied by PUSCH transmissions for the GEO scenario with 2 HARQ processes.</w:t>
      </w:r>
    </w:p>
    <w:p w14:paraId="1252B987" w14:textId="77777777" w:rsidR="00FB6550" w:rsidRDefault="00FB6550" w:rsidP="00FB6550">
      <w:pPr>
        <w:rPr>
          <w:bCs/>
        </w:rPr>
      </w:pPr>
    </w:p>
    <w:p w14:paraId="0AA42818" w14:textId="77777777" w:rsidR="00FB6550" w:rsidRDefault="00FB6550" w:rsidP="00FB6550">
      <w:pPr>
        <w:rPr>
          <w:bCs/>
        </w:rPr>
      </w:pPr>
      <w:r>
        <w:rPr>
          <w:bCs/>
          <w:noProof/>
        </w:rPr>
        <w:drawing>
          <wp:inline distT="0" distB="0" distL="0" distR="0" wp14:anchorId="5FDAD4D7" wp14:editId="69242A19">
            <wp:extent cx="5222321" cy="23977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4045" cy="2403143"/>
                    </a:xfrm>
                    <a:prstGeom prst="rect">
                      <a:avLst/>
                    </a:prstGeom>
                    <a:noFill/>
                  </pic:spPr>
                </pic:pic>
              </a:graphicData>
            </a:graphic>
          </wp:inline>
        </w:drawing>
      </w:r>
    </w:p>
    <w:p w14:paraId="56A2CF19" w14:textId="732257FB" w:rsidR="00FB6550" w:rsidRDefault="00FB6550" w:rsidP="00FB6550">
      <w:pPr>
        <w:pStyle w:val="Caption"/>
      </w:pPr>
      <w:bookmarkStart w:id="3" w:name="_Ref54291207"/>
      <w:r>
        <w:t xml:space="preserve">Figure </w:t>
      </w:r>
      <w:fldSimple w:instr=" SEQ Figure \* ARABIC ">
        <w:r w:rsidR="00C6101A">
          <w:rPr>
            <w:noProof/>
          </w:rPr>
          <w:t>1</w:t>
        </w:r>
      </w:fldSimple>
      <w:bookmarkEnd w:id="3"/>
      <w:r>
        <w:t xml:space="preserve"> – Example HARQ cycle for </w:t>
      </w:r>
      <w:proofErr w:type="spellStart"/>
      <w:r>
        <w:t>eMTC</w:t>
      </w:r>
      <w:proofErr w:type="spellEnd"/>
      <w:r>
        <w:t xml:space="preserve"> HARQ operation over GEO</w:t>
      </w:r>
    </w:p>
    <w:p w14:paraId="3EEFDCA1" w14:textId="77777777" w:rsidR="00FB6550" w:rsidRDefault="00FB6550" w:rsidP="00FB6550"/>
    <w:p w14:paraId="12EFF192" w14:textId="77777777" w:rsidR="00FB6550" w:rsidRDefault="00FB6550" w:rsidP="00FB6550"/>
    <w:p w14:paraId="1A1322CB" w14:textId="3470705F" w:rsidR="00FB6550" w:rsidRDefault="00FB6550" w:rsidP="00FB6550">
      <w:pPr>
        <w:rPr>
          <w:b/>
          <w:bCs/>
        </w:rPr>
      </w:pPr>
      <w:r w:rsidRPr="00671FA9">
        <w:rPr>
          <w:b/>
          <w:bCs/>
        </w:rPr>
        <w:t>Observation</w:t>
      </w:r>
      <w:r>
        <w:rPr>
          <w:b/>
          <w:bCs/>
        </w:rPr>
        <w:t xml:space="preserve"> </w:t>
      </w:r>
      <w:r w:rsidR="00016B49">
        <w:rPr>
          <w:b/>
          <w:bCs/>
        </w:rPr>
        <w:t>1</w:t>
      </w:r>
      <w:r w:rsidRPr="00671FA9">
        <w:rPr>
          <w:b/>
          <w:bCs/>
        </w:rPr>
        <w:t xml:space="preserve">: </w:t>
      </w:r>
      <w:r>
        <w:rPr>
          <w:b/>
          <w:bCs/>
        </w:rPr>
        <w:t>For GEO, 63% (512ms out of 806ms) of the HARQ cycle time is occupied by active PUSCH transmissions when 2 HARQ processes are active</w:t>
      </w:r>
      <w:r w:rsidRPr="00671FA9">
        <w:rPr>
          <w:b/>
          <w:bCs/>
        </w:rPr>
        <w:t>.</w:t>
      </w:r>
    </w:p>
    <w:p w14:paraId="6B2A746D" w14:textId="77777777" w:rsidR="00FB6550" w:rsidRPr="005F21FE" w:rsidRDefault="00FB6550" w:rsidP="00FB6550">
      <w:r>
        <w:t xml:space="preserve">If more than 2 HARQ processes were supported in CE Mode B, the UE could be transmitting PUSCH during the </w:t>
      </w:r>
      <w:proofErr w:type="gramStart"/>
      <w:r>
        <w:t>round trip</w:t>
      </w:r>
      <w:proofErr w:type="gramEnd"/>
      <w:r>
        <w:t xml:space="preserve"> time, increasing the sustained data rate. However, changing CE Mode B to support more than 2 HARQ process would have significant specification impact.</w:t>
      </w:r>
    </w:p>
    <w:p w14:paraId="56C159A8" w14:textId="72083654" w:rsidR="00FB6550" w:rsidRPr="00671FA9" w:rsidRDefault="00FB6550" w:rsidP="00FB6550">
      <w:pPr>
        <w:rPr>
          <w:b/>
          <w:bCs/>
        </w:rPr>
      </w:pPr>
      <w:r>
        <w:rPr>
          <w:bCs/>
        </w:rPr>
        <w:fldChar w:fldCharType="begin"/>
      </w:r>
      <w:r>
        <w:rPr>
          <w:bCs/>
        </w:rPr>
        <w:instrText xml:space="preserve"> REF _Ref61928327 \h </w:instrText>
      </w:r>
      <w:r>
        <w:rPr>
          <w:bCs/>
        </w:rPr>
      </w:r>
      <w:r>
        <w:rPr>
          <w:bCs/>
        </w:rPr>
        <w:fldChar w:fldCharType="separate"/>
      </w:r>
      <w:r w:rsidR="00C6101A">
        <w:t xml:space="preserve">Figure </w:t>
      </w:r>
      <w:r w:rsidR="00C6101A">
        <w:rPr>
          <w:noProof/>
        </w:rPr>
        <w:t>2</w:t>
      </w:r>
      <w:r>
        <w:rPr>
          <w:bCs/>
        </w:rPr>
        <w:fldChar w:fldCharType="end"/>
      </w:r>
      <w:r>
        <w:rPr>
          <w:bCs/>
        </w:rPr>
        <w:t xml:space="preserve"> shows an example HARQ cycle for </w:t>
      </w:r>
      <w:proofErr w:type="spellStart"/>
      <w:r>
        <w:rPr>
          <w:bCs/>
        </w:rPr>
        <w:t>eMTC</w:t>
      </w:r>
      <w:proofErr w:type="spellEnd"/>
      <w:r>
        <w:rPr>
          <w:bCs/>
        </w:rPr>
        <w:t xml:space="preserve"> operation over LEO-600. The figure shows that the </w:t>
      </w:r>
      <w:proofErr w:type="gramStart"/>
      <w:r>
        <w:rPr>
          <w:bCs/>
        </w:rPr>
        <w:t>round trip</w:t>
      </w:r>
      <w:proofErr w:type="gramEnd"/>
      <w:r>
        <w:rPr>
          <w:bCs/>
        </w:rPr>
        <w:t xml:space="preserve"> time occurs wholly within the transmission time of a PUSCH and hence the UE processing pipeline can be fully loaded in a LEO-600 constellation. A similar conclusion applies for LEO-1200.  </w:t>
      </w:r>
    </w:p>
    <w:p w14:paraId="529956C6" w14:textId="77777777" w:rsidR="00FB6550" w:rsidRDefault="00FB6550" w:rsidP="00FB6550"/>
    <w:p w14:paraId="5FA2D47A" w14:textId="77777777" w:rsidR="00FB6550" w:rsidRDefault="00FB6550" w:rsidP="00FB6550">
      <w:pPr>
        <w:jc w:val="center"/>
      </w:pPr>
      <w:r>
        <w:rPr>
          <w:noProof/>
        </w:rPr>
        <w:lastRenderedPageBreak/>
        <w:drawing>
          <wp:inline distT="0" distB="0" distL="0" distR="0" wp14:anchorId="2B6FF3CC" wp14:editId="00E8B679">
            <wp:extent cx="3789045" cy="2324018"/>
            <wp:effectExtent l="0" t="0" r="190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9563" cy="2355003"/>
                    </a:xfrm>
                    <a:prstGeom prst="rect">
                      <a:avLst/>
                    </a:prstGeom>
                    <a:noFill/>
                  </pic:spPr>
                </pic:pic>
              </a:graphicData>
            </a:graphic>
          </wp:inline>
        </w:drawing>
      </w:r>
    </w:p>
    <w:p w14:paraId="04BE3167" w14:textId="20F90F50" w:rsidR="00FB6550" w:rsidRDefault="00FB6550" w:rsidP="00FB6550">
      <w:pPr>
        <w:pStyle w:val="Caption"/>
      </w:pPr>
      <w:bookmarkStart w:id="4" w:name="_Ref61928327"/>
      <w:r>
        <w:t xml:space="preserve">Figure </w:t>
      </w:r>
      <w:fldSimple w:instr=" SEQ Figure \* ARABIC ">
        <w:r w:rsidR="00C6101A">
          <w:rPr>
            <w:noProof/>
          </w:rPr>
          <w:t>2</w:t>
        </w:r>
      </w:fldSimple>
      <w:bookmarkEnd w:id="4"/>
      <w:r>
        <w:t xml:space="preserve"> - Example HARQ cycle for </w:t>
      </w:r>
      <w:proofErr w:type="spellStart"/>
      <w:r>
        <w:t>eMTC</w:t>
      </w:r>
      <w:proofErr w:type="spellEnd"/>
      <w:r>
        <w:t xml:space="preserve"> HARQ operation over LEO-600</w:t>
      </w:r>
    </w:p>
    <w:p w14:paraId="0F79F12C" w14:textId="77777777" w:rsidR="00FB6550" w:rsidRDefault="00FB6550" w:rsidP="00FB6550"/>
    <w:p w14:paraId="5425D3AA" w14:textId="2A72249E" w:rsidR="00FB6550" w:rsidRDefault="00FB6550" w:rsidP="00FB6550">
      <w:pPr>
        <w:rPr>
          <w:b/>
          <w:bCs/>
        </w:rPr>
      </w:pPr>
      <w:r w:rsidRPr="00671FA9">
        <w:rPr>
          <w:b/>
          <w:bCs/>
        </w:rPr>
        <w:t>Observation</w:t>
      </w:r>
      <w:r>
        <w:rPr>
          <w:b/>
          <w:bCs/>
        </w:rPr>
        <w:t xml:space="preserve"> </w:t>
      </w:r>
      <w:r w:rsidR="00D22B2B">
        <w:rPr>
          <w:b/>
          <w:bCs/>
        </w:rPr>
        <w:t>2</w:t>
      </w:r>
      <w:r w:rsidRPr="00671FA9">
        <w:rPr>
          <w:b/>
          <w:bCs/>
        </w:rPr>
        <w:t xml:space="preserve">: </w:t>
      </w:r>
      <w:r>
        <w:rPr>
          <w:b/>
          <w:bCs/>
        </w:rPr>
        <w:t>For LEO constellations, the UE processing pipeline can be fully loaded with active PUSCH transmissions when 2 HARQ processes are active</w:t>
      </w:r>
      <w:r w:rsidRPr="00671FA9">
        <w:rPr>
          <w:b/>
          <w:bCs/>
        </w:rPr>
        <w:t>.</w:t>
      </w:r>
    </w:p>
    <w:p w14:paraId="4A3600D1" w14:textId="77777777" w:rsidR="00FB6550" w:rsidRDefault="00FB6550" w:rsidP="00FB6550">
      <w:pPr>
        <w:rPr>
          <w:b/>
          <w:bCs/>
        </w:rPr>
      </w:pPr>
    </w:p>
    <w:p w14:paraId="14CA2686" w14:textId="77777777" w:rsidR="00FB6550" w:rsidRPr="00094F43" w:rsidRDefault="00FB6550" w:rsidP="00FB6550">
      <w:pPr>
        <w:pStyle w:val="Heading1"/>
        <w:spacing w:after="80"/>
        <w:jc w:val="left"/>
        <w:rPr>
          <w:sz w:val="24"/>
          <w:lang w:eastAsia="zh-CN"/>
        </w:rPr>
      </w:pPr>
      <w:r>
        <w:rPr>
          <w:sz w:val="24"/>
          <w:lang w:eastAsia="zh-CN"/>
        </w:rPr>
        <w:t>Power consumption during HARQ cycle</w:t>
      </w:r>
    </w:p>
    <w:p w14:paraId="2A3498EE" w14:textId="6911715A" w:rsidR="00FB6550" w:rsidRDefault="00FB6550" w:rsidP="00FB6550">
      <w:pPr>
        <w:rPr>
          <w:bCs/>
        </w:rPr>
      </w:pPr>
      <w:r>
        <w:rPr>
          <w:bCs/>
        </w:rPr>
        <w:fldChar w:fldCharType="begin"/>
      </w:r>
      <w:r>
        <w:rPr>
          <w:b/>
          <w:bCs/>
        </w:rPr>
        <w:instrText xml:space="preserve"> REF _Ref54291207 \h </w:instrText>
      </w:r>
      <w:r>
        <w:rPr>
          <w:bCs/>
        </w:rPr>
      </w:r>
      <w:r>
        <w:rPr>
          <w:bCs/>
        </w:rPr>
        <w:fldChar w:fldCharType="separate"/>
      </w:r>
      <w:r w:rsidR="00C6101A">
        <w:t xml:space="preserve">Figure </w:t>
      </w:r>
      <w:r w:rsidR="00C6101A">
        <w:rPr>
          <w:noProof/>
        </w:rPr>
        <w:t>1</w:t>
      </w:r>
      <w:r>
        <w:rPr>
          <w:bCs/>
        </w:rPr>
        <w:fldChar w:fldCharType="end"/>
      </w:r>
      <w:r>
        <w:rPr>
          <w:bCs/>
        </w:rPr>
        <w:t xml:space="preserve"> shows that for a GEO deployment there are portions of the HARQ cycle in which the UE cannot be scheduled with UL data since there are no available free HARQ processes in the UE. However, the UE needs to monitor MPDCCH during this time period just in case it is going to be scheduled (e.g. with an MPDCCH signaling a DL grant, even though this is unlikely). The requirement to monitor MPDCCH, even though the UE is unlikely to be scheduled, leads to unnecessary and wasteful UE power consumption.</w:t>
      </w:r>
    </w:p>
    <w:p w14:paraId="3EDBA96B" w14:textId="1C399B4C" w:rsidR="00FB6550" w:rsidRDefault="00FB6550" w:rsidP="00FB6550">
      <w:pPr>
        <w:rPr>
          <w:bCs/>
        </w:rPr>
      </w:pPr>
      <w:r>
        <w:rPr>
          <w:bCs/>
        </w:rPr>
        <w:t xml:space="preserve">This issue is illustrated in </w:t>
      </w:r>
      <w:r>
        <w:rPr>
          <w:bCs/>
        </w:rPr>
        <w:fldChar w:fldCharType="begin"/>
      </w:r>
      <w:r>
        <w:rPr>
          <w:bCs/>
        </w:rPr>
        <w:instrText xml:space="preserve"> REF _Ref61904818 \h </w:instrText>
      </w:r>
      <w:r>
        <w:rPr>
          <w:bCs/>
        </w:rPr>
      </w:r>
      <w:r>
        <w:rPr>
          <w:bCs/>
        </w:rPr>
        <w:fldChar w:fldCharType="separate"/>
      </w:r>
      <w:r w:rsidR="00C6101A">
        <w:t xml:space="preserve">Figure </w:t>
      </w:r>
      <w:r w:rsidR="00C6101A">
        <w:rPr>
          <w:noProof/>
        </w:rPr>
        <w:t>3</w:t>
      </w:r>
      <w:r>
        <w:rPr>
          <w:bCs/>
        </w:rPr>
        <w:fldChar w:fldCharType="end"/>
      </w:r>
      <w:r>
        <w:rPr>
          <w:bCs/>
        </w:rPr>
        <w:t xml:space="preserve">. The figure shows the same GEO scenario as is shown in </w:t>
      </w:r>
      <w:r>
        <w:rPr>
          <w:bCs/>
        </w:rPr>
        <w:fldChar w:fldCharType="begin"/>
      </w:r>
      <w:r>
        <w:rPr>
          <w:b/>
          <w:bCs/>
        </w:rPr>
        <w:instrText xml:space="preserve"> REF _Ref54291207 \h </w:instrText>
      </w:r>
      <w:r>
        <w:rPr>
          <w:bCs/>
        </w:rPr>
      </w:r>
      <w:r>
        <w:rPr>
          <w:bCs/>
        </w:rPr>
        <w:fldChar w:fldCharType="separate"/>
      </w:r>
      <w:r w:rsidR="00C6101A">
        <w:t xml:space="preserve">Figure </w:t>
      </w:r>
      <w:r w:rsidR="00C6101A">
        <w:rPr>
          <w:noProof/>
        </w:rPr>
        <w:t>1</w:t>
      </w:r>
      <w:r>
        <w:rPr>
          <w:bCs/>
        </w:rPr>
        <w:fldChar w:fldCharType="end"/>
      </w:r>
      <w:r>
        <w:rPr>
          <w:bCs/>
        </w:rPr>
        <w:t xml:space="preserve">, but this figure also shows a power consumption profile for the UE. The figure shows that, having transmitted 2 PUSCH in the UL, the UE cannot be scheduled with further PUSCH until a time equal to the RTT has elapsed since the end of the first PUSCH. However, the UE needs to monitor MPDCCH during this time just in case it is scheduled. While the UE could be scheduled with a DL grant during this time, such scheduling is unlikely as such a DL transmission would not be in response to the UL data that is being transmitted to the </w:t>
      </w:r>
      <w:proofErr w:type="spellStart"/>
      <w:r>
        <w:rPr>
          <w:bCs/>
        </w:rPr>
        <w:t>eNB</w:t>
      </w:r>
      <w:proofErr w:type="spellEnd"/>
      <w:r>
        <w:rPr>
          <w:bCs/>
        </w:rPr>
        <w:t xml:space="preserve"> in the earlier PUSCH (that PUSCH has not yet been received by the </w:t>
      </w:r>
      <w:proofErr w:type="spellStart"/>
      <w:r>
        <w:rPr>
          <w:bCs/>
        </w:rPr>
        <w:t>eNB</w:t>
      </w:r>
      <w:proofErr w:type="spellEnd"/>
      <w:r>
        <w:rPr>
          <w:bCs/>
        </w:rPr>
        <w:t>). The yellow dashed portion of the power consumption profile in this figure is hence essentially wasted power as the UE might as well be in a sleep state until the end of the RTT, when the UE can be scheduled with a further UL grant.</w:t>
      </w:r>
    </w:p>
    <w:p w14:paraId="0BFF483D" w14:textId="3459D52B" w:rsidR="00FB6550" w:rsidRDefault="00FB6550" w:rsidP="00FB6550">
      <w:pPr>
        <w:rPr>
          <w:bCs/>
        </w:rPr>
      </w:pPr>
      <w:r>
        <w:rPr>
          <w:bCs/>
        </w:rPr>
        <w:t>It is hence proposed that, in order to reduce power consumption, when a UE is scheduled PUSCH in the UL, it does not need to monitor MPDCCH until the RTT time has elapsed from the end of the PUSCH.</w:t>
      </w:r>
      <w:r w:rsidR="003D3D4B">
        <w:rPr>
          <w:bCs/>
        </w:rPr>
        <w:t xml:space="preserve"> This is a form of reduced MPDCCH monit</w:t>
      </w:r>
      <w:r w:rsidR="005262E1">
        <w:rPr>
          <w:bCs/>
        </w:rPr>
        <w:t xml:space="preserve">oring, leading to lower UE power consumption, since the UE </w:t>
      </w:r>
      <w:proofErr w:type="gramStart"/>
      <w:r w:rsidR="005262E1">
        <w:rPr>
          <w:bCs/>
        </w:rPr>
        <w:t>is able to</w:t>
      </w:r>
      <w:proofErr w:type="gramEnd"/>
      <w:r w:rsidR="005262E1">
        <w:rPr>
          <w:bCs/>
        </w:rPr>
        <w:t xml:space="preserve"> sleep.</w:t>
      </w:r>
    </w:p>
    <w:p w14:paraId="5B8301E2" w14:textId="77777777" w:rsidR="00FB6550" w:rsidRDefault="00FB6550" w:rsidP="00FB6550">
      <w:pPr>
        <w:rPr>
          <w:b/>
          <w:bCs/>
        </w:rPr>
      </w:pPr>
      <w:r>
        <w:rPr>
          <w:b/>
          <w:bCs/>
        </w:rPr>
        <w:t>Proposal 1</w:t>
      </w:r>
      <w:r w:rsidRPr="00671FA9">
        <w:rPr>
          <w:b/>
          <w:bCs/>
        </w:rPr>
        <w:t xml:space="preserve">: </w:t>
      </w:r>
      <w:r>
        <w:rPr>
          <w:b/>
          <w:bCs/>
        </w:rPr>
        <w:t>In order to reduce power consumption, w</w:t>
      </w:r>
      <w:r w:rsidRPr="00BF7053">
        <w:rPr>
          <w:b/>
          <w:bCs/>
        </w:rPr>
        <w:t xml:space="preserve">hen </w:t>
      </w:r>
      <w:r>
        <w:rPr>
          <w:b/>
          <w:bCs/>
        </w:rPr>
        <w:t>a</w:t>
      </w:r>
      <w:r w:rsidRPr="00BF7053">
        <w:rPr>
          <w:b/>
          <w:bCs/>
        </w:rPr>
        <w:t xml:space="preserve"> UE is scheduled PUSCH in the UL, it does not need to monitor MPDCCH until the RTT time has elapsed from the end of the PUSCH</w:t>
      </w:r>
      <w:r w:rsidRPr="00671FA9">
        <w:rPr>
          <w:b/>
          <w:bCs/>
        </w:rPr>
        <w:t>.</w:t>
      </w:r>
    </w:p>
    <w:p w14:paraId="4BEC1E02" w14:textId="77777777" w:rsidR="00FB6550" w:rsidRDefault="00FB6550" w:rsidP="00FB6550">
      <w:pPr>
        <w:rPr>
          <w:bCs/>
        </w:rPr>
      </w:pPr>
    </w:p>
    <w:p w14:paraId="3C480393" w14:textId="77777777" w:rsidR="00FB6550" w:rsidRDefault="00FB6550" w:rsidP="00FB6550">
      <w:pPr>
        <w:rPr>
          <w:b/>
          <w:bCs/>
        </w:rPr>
      </w:pPr>
      <w:r>
        <w:rPr>
          <w:b/>
          <w:bCs/>
          <w:noProof/>
        </w:rPr>
        <w:lastRenderedPageBreak/>
        <w:drawing>
          <wp:inline distT="0" distB="0" distL="0" distR="0" wp14:anchorId="7AACFFDE" wp14:editId="59E0E587">
            <wp:extent cx="5680226" cy="344506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8285" cy="3462083"/>
                    </a:xfrm>
                    <a:prstGeom prst="rect">
                      <a:avLst/>
                    </a:prstGeom>
                    <a:noFill/>
                  </pic:spPr>
                </pic:pic>
              </a:graphicData>
            </a:graphic>
          </wp:inline>
        </w:drawing>
      </w:r>
    </w:p>
    <w:p w14:paraId="31BDF7DE" w14:textId="58D30F52" w:rsidR="00FB6550" w:rsidRDefault="00FB6550" w:rsidP="00FB6550">
      <w:pPr>
        <w:pStyle w:val="Caption"/>
        <w:rPr>
          <w:b w:val="0"/>
          <w:bCs w:val="0"/>
        </w:rPr>
      </w:pPr>
      <w:bookmarkStart w:id="5" w:name="_Ref61904818"/>
      <w:r>
        <w:t xml:space="preserve">Figure </w:t>
      </w:r>
      <w:fldSimple w:instr=" SEQ Figure \* ARABIC ">
        <w:r w:rsidR="00C6101A">
          <w:rPr>
            <w:noProof/>
          </w:rPr>
          <w:t>3</w:t>
        </w:r>
      </w:fldSimple>
      <w:bookmarkEnd w:id="5"/>
      <w:r>
        <w:t xml:space="preserve"> - Excess power consumption from monitoring MPDCCH when UE is unlikely to be scheduled</w:t>
      </w:r>
    </w:p>
    <w:p w14:paraId="78DB18E0" w14:textId="002FCED8" w:rsidR="762EC356" w:rsidRPr="00F70DDC" w:rsidRDefault="762EC356" w:rsidP="00CD168F">
      <w:pPr>
        <w:pStyle w:val="Caption"/>
        <w:jc w:val="left"/>
      </w:pPr>
    </w:p>
    <w:p w14:paraId="3FC55F81" w14:textId="105FBB25" w:rsidR="00CE1213" w:rsidRPr="00094F43" w:rsidRDefault="00094F43" w:rsidP="00387C77">
      <w:pPr>
        <w:pStyle w:val="Heading1"/>
        <w:spacing w:after="80"/>
        <w:jc w:val="left"/>
        <w:rPr>
          <w:sz w:val="24"/>
          <w:szCs w:val="24"/>
          <w:lang w:eastAsia="zh-CN"/>
        </w:rPr>
      </w:pPr>
      <w:bookmarkStart w:id="6" w:name="_Hlk47387515"/>
      <w:r w:rsidRPr="5DEF72DC">
        <w:rPr>
          <w:sz w:val="24"/>
          <w:szCs w:val="24"/>
          <w:lang w:eastAsia="zh-CN"/>
        </w:rPr>
        <w:t>Conclusions</w:t>
      </w:r>
    </w:p>
    <w:bookmarkEnd w:id="6"/>
    <w:p w14:paraId="0432B564" w14:textId="1B00CDB5" w:rsidR="004A65A5" w:rsidRDefault="005262E1" w:rsidP="004A65A5">
      <w:pPr>
        <w:rPr>
          <w:bCs/>
        </w:rPr>
      </w:pPr>
      <w:r>
        <w:rPr>
          <w:bCs/>
        </w:rPr>
        <w:t xml:space="preserve">This document has considered some </w:t>
      </w:r>
      <w:r w:rsidR="00E13B6D">
        <w:rPr>
          <w:bCs/>
        </w:rPr>
        <w:t>HARQ enhancements for IoT-NTN. The document makes the following observations and proposals:</w:t>
      </w:r>
    </w:p>
    <w:p w14:paraId="20B86C43" w14:textId="77777777" w:rsidR="00E13B6D" w:rsidRDefault="00E13B6D" w:rsidP="00E13B6D">
      <w:pPr>
        <w:rPr>
          <w:b/>
          <w:bCs/>
        </w:rPr>
      </w:pPr>
      <w:r w:rsidRPr="00671FA9">
        <w:rPr>
          <w:b/>
          <w:bCs/>
        </w:rPr>
        <w:t>Observation</w:t>
      </w:r>
      <w:r>
        <w:rPr>
          <w:b/>
          <w:bCs/>
        </w:rPr>
        <w:t xml:space="preserve"> 1</w:t>
      </w:r>
      <w:r w:rsidRPr="00671FA9">
        <w:rPr>
          <w:b/>
          <w:bCs/>
        </w:rPr>
        <w:t xml:space="preserve">: </w:t>
      </w:r>
      <w:r>
        <w:rPr>
          <w:b/>
          <w:bCs/>
        </w:rPr>
        <w:t>For GEO, 63% (512ms out of 806ms) of the HARQ cycle time is occupied by active PUSCH transmissions when 2 HARQ processes are active</w:t>
      </w:r>
      <w:r w:rsidRPr="00671FA9">
        <w:rPr>
          <w:b/>
          <w:bCs/>
        </w:rPr>
        <w:t>.</w:t>
      </w:r>
    </w:p>
    <w:p w14:paraId="43ABA30F" w14:textId="77777777" w:rsidR="00E13B6D" w:rsidRDefault="00E13B6D" w:rsidP="00E13B6D">
      <w:pPr>
        <w:rPr>
          <w:b/>
          <w:bCs/>
        </w:rPr>
      </w:pPr>
      <w:r w:rsidRPr="00671FA9">
        <w:rPr>
          <w:b/>
          <w:bCs/>
        </w:rPr>
        <w:t>Observation</w:t>
      </w:r>
      <w:r>
        <w:rPr>
          <w:b/>
          <w:bCs/>
        </w:rPr>
        <w:t xml:space="preserve"> 2</w:t>
      </w:r>
      <w:r w:rsidRPr="00671FA9">
        <w:rPr>
          <w:b/>
          <w:bCs/>
        </w:rPr>
        <w:t xml:space="preserve">: </w:t>
      </w:r>
      <w:r>
        <w:rPr>
          <w:b/>
          <w:bCs/>
        </w:rPr>
        <w:t>For LEO constellations, the UE processing pipeline can be fully loaded with active PUSCH transmissions when 2 HARQ processes are active</w:t>
      </w:r>
      <w:r w:rsidRPr="00671FA9">
        <w:rPr>
          <w:b/>
          <w:bCs/>
        </w:rPr>
        <w:t>.</w:t>
      </w:r>
    </w:p>
    <w:p w14:paraId="74FFEAC2" w14:textId="77777777" w:rsidR="00E13B6D" w:rsidRDefault="00E13B6D" w:rsidP="00E13B6D">
      <w:pPr>
        <w:rPr>
          <w:b/>
          <w:bCs/>
        </w:rPr>
      </w:pPr>
      <w:r>
        <w:rPr>
          <w:b/>
          <w:bCs/>
        </w:rPr>
        <w:t>Proposal 1</w:t>
      </w:r>
      <w:r w:rsidRPr="00671FA9">
        <w:rPr>
          <w:b/>
          <w:bCs/>
        </w:rPr>
        <w:t xml:space="preserve">: </w:t>
      </w:r>
      <w:r>
        <w:rPr>
          <w:b/>
          <w:bCs/>
        </w:rPr>
        <w:t>In order to reduce power consumption, w</w:t>
      </w:r>
      <w:r w:rsidRPr="00BF7053">
        <w:rPr>
          <w:b/>
          <w:bCs/>
        </w:rPr>
        <w:t xml:space="preserve">hen </w:t>
      </w:r>
      <w:r>
        <w:rPr>
          <w:b/>
          <w:bCs/>
        </w:rPr>
        <w:t>a</w:t>
      </w:r>
      <w:r w:rsidRPr="00BF7053">
        <w:rPr>
          <w:b/>
          <w:bCs/>
        </w:rPr>
        <w:t xml:space="preserve"> UE is scheduled PUSCH in the UL, it does not need to monitor MPDCCH until the RTT time has elapsed from the end of the PUSCH</w:t>
      </w:r>
      <w:r w:rsidRPr="00671FA9">
        <w:rPr>
          <w:b/>
          <w:bCs/>
        </w:rPr>
        <w:t>.</w:t>
      </w:r>
    </w:p>
    <w:p w14:paraId="0ADC591F" w14:textId="77777777" w:rsidR="00E13B6D" w:rsidRPr="009A17A9" w:rsidRDefault="00E13B6D" w:rsidP="004A65A5">
      <w:pPr>
        <w:rPr>
          <w:bCs/>
        </w:rPr>
      </w:pPr>
    </w:p>
    <w:p w14:paraId="60ADBCD9" w14:textId="77777777" w:rsidR="004A65A5" w:rsidRDefault="004A65A5" w:rsidP="00E25E48">
      <w:pPr>
        <w:rPr>
          <w:b/>
        </w:rPr>
      </w:pPr>
    </w:p>
    <w:p w14:paraId="1A7ED4E3" w14:textId="41A90516" w:rsidR="002348EF" w:rsidRPr="001F10DF" w:rsidRDefault="002348EF" w:rsidP="002348EF">
      <w:pPr>
        <w:pStyle w:val="Heading1"/>
        <w:spacing w:after="80"/>
        <w:jc w:val="left"/>
        <w:rPr>
          <w:sz w:val="24"/>
          <w:szCs w:val="24"/>
          <w:lang w:eastAsia="zh-CN"/>
        </w:rPr>
      </w:pPr>
      <w:r w:rsidRPr="001F10DF">
        <w:rPr>
          <w:sz w:val="24"/>
          <w:szCs w:val="24"/>
          <w:lang w:eastAsia="zh-CN"/>
        </w:rPr>
        <w:t>Reference</w:t>
      </w:r>
      <w:r w:rsidR="00E25E48" w:rsidRPr="001F10DF">
        <w:rPr>
          <w:sz w:val="24"/>
          <w:szCs w:val="24"/>
          <w:lang w:eastAsia="zh-CN"/>
        </w:rPr>
        <w:t>s</w:t>
      </w:r>
    </w:p>
    <w:p w14:paraId="36D43953" w14:textId="59346BC1" w:rsidR="000E3469" w:rsidRDefault="000E3469" w:rsidP="00D64F80">
      <w:pPr>
        <w:pStyle w:val="ListParagraph"/>
        <w:numPr>
          <w:ilvl w:val="0"/>
          <w:numId w:val="6"/>
        </w:numPr>
        <w:ind w:left="426" w:hanging="426"/>
        <w:rPr>
          <w:rFonts w:ascii="Times New Roman" w:hAnsi="Times New Roman" w:cs="Times New Roman"/>
        </w:rPr>
      </w:pPr>
      <w:bookmarkStart w:id="7"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7"/>
      <w:r w:rsidR="00725F3D">
        <w:rPr>
          <w:rFonts w:ascii="Times New Roman" w:hAnsi="Times New Roman" w:cs="Times New Roman"/>
        </w:rPr>
        <w:t>“</w:t>
      </w:r>
      <w:r w:rsidR="00760196">
        <w:rPr>
          <w:rFonts w:ascii="Times New Roman" w:hAnsi="Times New Roman" w:cs="Times New Roman"/>
        </w:rPr>
        <w:t xml:space="preserve">Study on NB-IoT / </w:t>
      </w:r>
      <w:proofErr w:type="spellStart"/>
      <w:r w:rsidR="00760196">
        <w:rPr>
          <w:rFonts w:ascii="Times New Roman" w:hAnsi="Times New Roman" w:cs="Times New Roman"/>
        </w:rPr>
        <w:t>eMTC</w:t>
      </w:r>
      <w:proofErr w:type="spellEnd"/>
      <w:r w:rsidR="00760196">
        <w:rPr>
          <w:rFonts w:ascii="Times New Roman" w:hAnsi="Times New Roman" w:cs="Times New Roman"/>
        </w:rPr>
        <w:t xml:space="preserve">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w:t>
      </w:r>
      <w:proofErr w:type="spellStart"/>
      <w:r w:rsidR="00760196">
        <w:rPr>
          <w:rFonts w:ascii="Times New Roman" w:hAnsi="Times New Roman" w:cs="Times New Roman"/>
        </w:rPr>
        <w:t>Sitges</w:t>
      </w:r>
      <w:proofErr w:type="spellEnd"/>
      <w:r w:rsidR="00760196">
        <w:rPr>
          <w:rFonts w:ascii="Times New Roman" w:hAnsi="Times New Roman" w:cs="Times New Roman"/>
        </w:rPr>
        <w:t>, Spain</w:t>
      </w:r>
      <w:r w:rsidR="00CA3ADA">
        <w:rPr>
          <w:rFonts w:ascii="Times New Roman" w:hAnsi="Times New Roman" w:cs="Times New Roman"/>
        </w:rPr>
        <w:t>.</w:t>
      </w:r>
      <w:r w:rsidR="00760196">
        <w:rPr>
          <w:rFonts w:ascii="Times New Roman" w:hAnsi="Times New Roman" w:cs="Times New Roman"/>
        </w:rPr>
        <w:t xml:space="preserve"> December 2019.</w:t>
      </w:r>
    </w:p>
    <w:p w14:paraId="0E868790" w14:textId="77777777" w:rsidR="001F10DF" w:rsidRDefault="001F10DF" w:rsidP="001F10DF">
      <w:pPr>
        <w:pStyle w:val="ListParagraph"/>
        <w:numPr>
          <w:ilvl w:val="0"/>
          <w:numId w:val="6"/>
        </w:numPr>
        <w:ind w:left="426" w:hanging="426"/>
        <w:rPr>
          <w:rFonts w:ascii="Times New Roman" w:hAnsi="Times New Roman" w:cs="Times New Roman"/>
        </w:rPr>
      </w:pPr>
      <w:bookmarkStart w:id="8" w:name="_Ref68653232"/>
      <w:r>
        <w:rPr>
          <w:rFonts w:ascii="Times New Roman" w:hAnsi="Times New Roman" w:cs="Times New Roman"/>
        </w:rPr>
        <w:t>TR36.763 v0.1.0. “</w:t>
      </w:r>
      <w:r w:rsidRPr="00805825">
        <w:rPr>
          <w:rFonts w:ascii="Times New Roman" w:hAnsi="Times New Roman" w:cs="Times New Roman"/>
        </w:rPr>
        <w:t>Study on Narrow-Band Internet of Things (NB-IoT) / enhanced Machine Type Communication (</w:t>
      </w:r>
      <w:proofErr w:type="spellStart"/>
      <w:r w:rsidRPr="00805825">
        <w:rPr>
          <w:rFonts w:ascii="Times New Roman" w:hAnsi="Times New Roman" w:cs="Times New Roman"/>
        </w:rPr>
        <w:t>eMTC</w:t>
      </w:r>
      <w:proofErr w:type="spellEnd"/>
      <w:r w:rsidRPr="00805825">
        <w:rPr>
          <w:rFonts w:ascii="Times New Roman" w:hAnsi="Times New Roman" w:cs="Times New Roman"/>
        </w:rPr>
        <w:t>) support for Non-Terrestrial Networks (NTN)</w:t>
      </w:r>
      <w:r>
        <w:rPr>
          <w:rFonts w:ascii="Times New Roman" w:hAnsi="Times New Roman" w:cs="Times New Roman"/>
        </w:rPr>
        <w:t>”.</w:t>
      </w:r>
      <w:bookmarkEnd w:id="8"/>
      <w:r>
        <w:rPr>
          <w:rFonts w:ascii="Times New Roman" w:hAnsi="Times New Roman" w:cs="Times New Roman"/>
        </w:rPr>
        <w:t xml:space="preserve"> </w:t>
      </w:r>
    </w:p>
    <w:p w14:paraId="4B16B0B7" w14:textId="6BB84204" w:rsidR="00D145ED" w:rsidRDefault="00D145ED" w:rsidP="001F10DF">
      <w:pPr>
        <w:pStyle w:val="ListParagraph"/>
        <w:ind w:left="426"/>
        <w:rPr>
          <w:rFonts w:ascii="Times New Roman" w:hAnsi="Times New Roman" w:cs="Times New Roman"/>
        </w:rPr>
      </w:pPr>
    </w:p>
    <w:p w14:paraId="4C3D5F54" w14:textId="0B1B927B" w:rsidR="000B6EEA" w:rsidRDefault="000B6EEA" w:rsidP="00671FA9">
      <w:pPr>
        <w:pStyle w:val="Default"/>
      </w:pPr>
    </w:p>
    <w:p w14:paraId="4564D851" w14:textId="0BBE950A" w:rsidR="006959BA" w:rsidRDefault="006959BA" w:rsidP="006959BA"/>
    <w:p w14:paraId="29685921" w14:textId="6155B3A4" w:rsidR="006959BA" w:rsidRDefault="006959BA" w:rsidP="006959BA"/>
    <w:p w14:paraId="2FD9765E" w14:textId="449EBB2E" w:rsidR="00A07B1A" w:rsidRDefault="00A07B1A" w:rsidP="006959BA"/>
    <w:sectPr w:rsidR="00A07B1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6FF22" w14:textId="77777777" w:rsidR="0089160C" w:rsidRDefault="0089160C">
      <w:r>
        <w:separator/>
      </w:r>
    </w:p>
  </w:endnote>
  <w:endnote w:type="continuationSeparator" w:id="0">
    <w:p w14:paraId="0C73A6AB" w14:textId="77777777" w:rsidR="0089160C" w:rsidRDefault="0089160C">
      <w:r>
        <w:continuationSeparator/>
      </w:r>
    </w:p>
  </w:endnote>
  <w:endnote w:type="continuationNotice" w:id="1">
    <w:p w14:paraId="2D13215B" w14:textId="77777777" w:rsidR="0089160C" w:rsidRDefault="00891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quot;Courier New&quot;&quot;,serif">
    <w:altName w:val="Cambria"/>
    <w:charset w:val="00"/>
    <w:family w:val="roma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EBFC9" w14:textId="77777777" w:rsidR="0089160C" w:rsidRDefault="0089160C">
      <w:r>
        <w:separator/>
      </w:r>
    </w:p>
  </w:footnote>
  <w:footnote w:type="continuationSeparator" w:id="0">
    <w:p w14:paraId="06E2ABDC" w14:textId="77777777" w:rsidR="0089160C" w:rsidRDefault="0089160C">
      <w:r>
        <w:continuationSeparator/>
      </w:r>
    </w:p>
  </w:footnote>
  <w:footnote w:type="continuationNotice" w:id="1">
    <w:p w14:paraId="149D7BA3" w14:textId="77777777" w:rsidR="0089160C" w:rsidRDefault="008916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810F1"/>
    <w:multiLevelType w:val="hybridMultilevel"/>
    <w:tmpl w:val="38708C1C"/>
    <w:lvl w:ilvl="0" w:tplc="97E01A78">
      <w:start w:val="1"/>
      <w:numFmt w:val="bullet"/>
      <w:lvlText w:val="·"/>
      <w:lvlJc w:val="left"/>
      <w:pPr>
        <w:ind w:left="720" w:hanging="360"/>
      </w:pPr>
      <w:rPr>
        <w:rFonts w:ascii="Symbol" w:hAnsi="Symbol" w:hint="default"/>
      </w:rPr>
    </w:lvl>
    <w:lvl w:ilvl="1" w:tplc="C35ACA20">
      <w:start w:val="1"/>
      <w:numFmt w:val="bullet"/>
      <w:lvlText w:val="o"/>
      <w:lvlJc w:val="left"/>
      <w:pPr>
        <w:ind w:left="1440" w:hanging="360"/>
      </w:pPr>
      <w:rPr>
        <w:rFonts w:ascii="&quot;&quot;Courier New&quot;&quot;,serif" w:hAnsi="&quot;&quot;Courier New&quot;&quot;,serif" w:hint="default"/>
      </w:rPr>
    </w:lvl>
    <w:lvl w:ilvl="2" w:tplc="DB388F6C">
      <w:start w:val="1"/>
      <w:numFmt w:val="bullet"/>
      <w:lvlText w:val=""/>
      <w:lvlJc w:val="left"/>
      <w:pPr>
        <w:ind w:left="2160" w:hanging="360"/>
      </w:pPr>
      <w:rPr>
        <w:rFonts w:ascii="Wingdings" w:hAnsi="Wingdings" w:hint="default"/>
      </w:rPr>
    </w:lvl>
    <w:lvl w:ilvl="3" w:tplc="AC5E2C6E">
      <w:start w:val="1"/>
      <w:numFmt w:val="bullet"/>
      <w:lvlText w:val=""/>
      <w:lvlJc w:val="left"/>
      <w:pPr>
        <w:ind w:left="2880" w:hanging="360"/>
      </w:pPr>
      <w:rPr>
        <w:rFonts w:ascii="Symbol" w:hAnsi="Symbol" w:hint="default"/>
      </w:rPr>
    </w:lvl>
    <w:lvl w:ilvl="4" w:tplc="FEE2CBE0">
      <w:start w:val="1"/>
      <w:numFmt w:val="bullet"/>
      <w:lvlText w:val="o"/>
      <w:lvlJc w:val="left"/>
      <w:pPr>
        <w:ind w:left="3600" w:hanging="360"/>
      </w:pPr>
      <w:rPr>
        <w:rFonts w:ascii="Courier New" w:hAnsi="Courier New" w:hint="default"/>
      </w:rPr>
    </w:lvl>
    <w:lvl w:ilvl="5" w:tplc="CA4C8072">
      <w:start w:val="1"/>
      <w:numFmt w:val="bullet"/>
      <w:lvlText w:val=""/>
      <w:lvlJc w:val="left"/>
      <w:pPr>
        <w:ind w:left="4320" w:hanging="360"/>
      </w:pPr>
      <w:rPr>
        <w:rFonts w:ascii="Wingdings" w:hAnsi="Wingdings" w:hint="default"/>
      </w:rPr>
    </w:lvl>
    <w:lvl w:ilvl="6" w:tplc="2C4CB46A">
      <w:start w:val="1"/>
      <w:numFmt w:val="bullet"/>
      <w:lvlText w:val=""/>
      <w:lvlJc w:val="left"/>
      <w:pPr>
        <w:ind w:left="5040" w:hanging="360"/>
      </w:pPr>
      <w:rPr>
        <w:rFonts w:ascii="Symbol" w:hAnsi="Symbol" w:hint="default"/>
      </w:rPr>
    </w:lvl>
    <w:lvl w:ilvl="7" w:tplc="CC8EE888">
      <w:start w:val="1"/>
      <w:numFmt w:val="bullet"/>
      <w:lvlText w:val="o"/>
      <w:lvlJc w:val="left"/>
      <w:pPr>
        <w:ind w:left="5760" w:hanging="360"/>
      </w:pPr>
      <w:rPr>
        <w:rFonts w:ascii="Courier New" w:hAnsi="Courier New" w:hint="default"/>
      </w:rPr>
    </w:lvl>
    <w:lvl w:ilvl="8" w:tplc="3DCC341C">
      <w:start w:val="1"/>
      <w:numFmt w:val="bullet"/>
      <w:lvlText w:val=""/>
      <w:lvlJc w:val="left"/>
      <w:pPr>
        <w:ind w:left="6480" w:hanging="360"/>
      </w:pPr>
      <w:rPr>
        <w:rFonts w:ascii="Wingdings" w:hAnsi="Wingdings" w:hint="default"/>
      </w:rPr>
    </w:lvl>
  </w:abstractNum>
  <w:abstractNum w:abstractNumId="6"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6"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0"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5"/>
  </w:num>
  <w:num w:numId="4">
    <w:abstractNumId w:val="19"/>
  </w:num>
  <w:num w:numId="5">
    <w:abstractNumId w:val="22"/>
  </w:num>
  <w:num w:numId="6">
    <w:abstractNumId w:val="4"/>
  </w:num>
  <w:num w:numId="7">
    <w:abstractNumId w:val="18"/>
  </w:num>
  <w:num w:numId="8">
    <w:abstractNumId w:val="14"/>
  </w:num>
  <w:num w:numId="9">
    <w:abstractNumId w:val="24"/>
  </w:num>
  <w:num w:numId="10">
    <w:abstractNumId w:val="23"/>
  </w:num>
  <w:num w:numId="11">
    <w:abstractNumId w:val="8"/>
  </w:num>
  <w:num w:numId="12">
    <w:abstractNumId w:val="12"/>
  </w:num>
  <w:num w:numId="13">
    <w:abstractNumId w:val="10"/>
  </w:num>
  <w:num w:numId="14">
    <w:abstractNumId w:val="21"/>
  </w:num>
  <w:num w:numId="15">
    <w:abstractNumId w:val="0"/>
  </w:num>
  <w:num w:numId="16">
    <w:abstractNumId w:val="6"/>
  </w:num>
  <w:num w:numId="17">
    <w:abstractNumId w:val="1"/>
  </w:num>
  <w:num w:numId="18">
    <w:abstractNumId w:val="16"/>
  </w:num>
  <w:num w:numId="19">
    <w:abstractNumId w:val="2"/>
  </w:num>
  <w:num w:numId="20">
    <w:abstractNumId w:val="13"/>
  </w:num>
  <w:num w:numId="21">
    <w:abstractNumId w:val="5"/>
  </w:num>
  <w:num w:numId="22">
    <w:abstractNumId w:val="20"/>
  </w:num>
  <w:num w:numId="23">
    <w:abstractNumId w:val="9"/>
  </w:num>
  <w:num w:numId="24">
    <w:abstractNumId w:val="7"/>
  </w:num>
  <w:num w:numId="25">
    <w:abstractNumId w:val="17"/>
  </w:num>
  <w:num w:numId="2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6B49"/>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42B"/>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8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6C9A"/>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0DF"/>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4C79"/>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0EFE"/>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4B"/>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32F"/>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542"/>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54D"/>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2E1"/>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995"/>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95D"/>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1CA7"/>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904"/>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207"/>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848"/>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60C"/>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1A0"/>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D71"/>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23E"/>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2ED"/>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357"/>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716"/>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4CD"/>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C80"/>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1A"/>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2B"/>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163"/>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27"/>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0D19"/>
    <w:rsid w:val="00E1214E"/>
    <w:rsid w:val="00E121C1"/>
    <w:rsid w:val="00E1243D"/>
    <w:rsid w:val="00E138FF"/>
    <w:rsid w:val="00E13B6D"/>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194"/>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5EAD"/>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3CB"/>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AE9"/>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A53"/>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0D5"/>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55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D4AA0F-D297-4AD0-88B7-A14CC548B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D021601D-1D40-4BAB-9FF4-D657C6B6465C}">
  <ds:schemaRefs>
    <ds:schemaRef ds:uri="http://schemas.openxmlformats.org/officeDocument/2006/bibliography"/>
  </ds:schemaRefs>
</ds:datastoreItem>
</file>

<file path=customXml/itemProps5.xml><?xml version="1.0" encoding="utf-8"?>
<ds:datastoreItem xmlns:ds="http://schemas.openxmlformats.org/officeDocument/2006/customXml" ds:itemID="{0AC55F21-FE8D-4196-8BE8-44CEFDA5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38</cp:revision>
  <cp:lastPrinted>2016-05-14T13:14:00Z</cp:lastPrinted>
  <dcterms:created xsi:type="dcterms:W3CDTF">2021-03-29T23:13:00Z</dcterms:created>
  <dcterms:modified xsi:type="dcterms:W3CDTF">2021-04-07T01:04:00Z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